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0" w:type="dxa"/>
        <w:tblInd w:w="5" w:type="dxa"/>
        <w:tblLook w:val="04A0" w:firstRow="1" w:lastRow="0" w:firstColumn="1" w:lastColumn="0" w:noHBand="0" w:noVBand="1"/>
      </w:tblPr>
      <w:tblGrid>
        <w:gridCol w:w="4800"/>
        <w:gridCol w:w="5500"/>
      </w:tblGrid>
      <w:tr w:rsidR="0016710D" w:rsidRPr="0016710D" w:rsidTr="0016710D">
        <w:trPr>
          <w:trHeight w:val="285"/>
        </w:trPr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Паспорт инвестиционного проекта </w:t>
            </w:r>
          </w:p>
        </w:tc>
      </w:tr>
      <w:tr w:rsidR="0016710D" w:rsidRPr="0016710D" w:rsidTr="0016710D">
        <w:trPr>
          <w:trHeight w:val="285"/>
        </w:trPr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r w:rsidRPr="001671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Строительства цеха по производству низко- и среднеуглеродистого ферромарганца конверторным способом</w:t>
            </w:r>
          </w:p>
        </w:tc>
      </w:tr>
      <w:bookmarkEnd w:id="0"/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710D" w:rsidRPr="0016710D" w:rsidTr="0016710D">
        <w:trPr>
          <w:trHeight w:val="345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1. Основные сведения об организации-инициаторе инвестиционного проекта</w:t>
            </w:r>
          </w:p>
        </w:tc>
      </w:tr>
      <w:tr w:rsidR="0016710D" w:rsidRPr="0016710D" w:rsidTr="0016710D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1.1. Наименование организации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"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Саткинский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чугуноплавильный завод"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( АО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"СЧПЗ")</w:t>
            </w:r>
          </w:p>
        </w:tc>
      </w:tr>
      <w:tr w:rsidR="0016710D" w:rsidRPr="0016710D" w:rsidTr="0016710D">
        <w:trPr>
          <w:trHeight w:val="6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1.2. Адрес организации (юридический, фактический)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456910,  г.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Сатка, Челябинская обл., пл. 1 Мая, дом 1</w:t>
            </w:r>
          </w:p>
        </w:tc>
      </w:tr>
      <w:tr w:rsidR="0016710D" w:rsidRPr="0016710D" w:rsidTr="0016710D">
        <w:trPr>
          <w:trHeight w:val="4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1.3. Руководитель организации (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Ф,И.О.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, должность)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Иванов Алексей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Витальевич,  директор</w:t>
            </w:r>
            <w:proofErr w:type="gramEnd"/>
          </w:p>
        </w:tc>
      </w:tr>
      <w:tr w:rsidR="0016710D" w:rsidRPr="0016710D" w:rsidTr="0016710D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1.4. Вид деятельности организации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Производство чугуна и доменных ферросплавов (ОКВЭД 27.11)</w:t>
            </w:r>
          </w:p>
        </w:tc>
      </w:tr>
      <w:tr w:rsidR="0016710D" w:rsidRPr="0016710D" w:rsidTr="0016710D">
        <w:trPr>
          <w:trHeight w:val="6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1.5. Контактная информация организации телефоны, e-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, сайт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Тел./факс: +7(35161) 3-28-43, 3-28-52, </w:t>
            </w:r>
            <w:proofErr w:type="spellStart"/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E-mail:zavod@shpz.ru</w:t>
            </w:r>
            <w:proofErr w:type="spellEnd"/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, сайт - www.shpz.ru</w:t>
            </w:r>
          </w:p>
        </w:tc>
      </w:tr>
      <w:tr w:rsidR="0016710D" w:rsidRPr="0016710D" w:rsidTr="0016710D">
        <w:trPr>
          <w:trHeight w:val="6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1.6. Контактное лицо по инвестиционному проекту, телефон, e-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Стругова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Жанна Владимировна, +7(35161) 97-2-61, E-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: janna@shpz.ru</w:t>
            </w:r>
          </w:p>
        </w:tc>
      </w:tr>
      <w:tr w:rsidR="0016710D" w:rsidRPr="0016710D" w:rsidTr="0016710D">
        <w:trPr>
          <w:trHeight w:val="300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 Основные сведения об инвестиционном проекте</w:t>
            </w:r>
          </w:p>
        </w:tc>
      </w:tr>
      <w:tr w:rsidR="0016710D" w:rsidRPr="0016710D" w:rsidTr="0016710D">
        <w:trPr>
          <w:trHeight w:val="9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2.1. Наименование инвестиционного проекта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Строительства цеха по производству низко- и среднеуглеродистого ферромарганца конверторным способом</w:t>
            </w:r>
          </w:p>
        </w:tc>
      </w:tr>
      <w:tr w:rsidR="0016710D" w:rsidRPr="0016710D" w:rsidTr="0016710D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2.2. Территория (регион) реализации инвестиционного проекта, расположение на карте (ссылка на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Google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Maps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Саткинский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город Сатка. Ссылка на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Google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Maps-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55.0403175,59.0222862</w:t>
            </w:r>
            <w:proofErr w:type="gramEnd"/>
          </w:p>
        </w:tc>
      </w:tr>
      <w:tr w:rsidR="0016710D" w:rsidRPr="0016710D" w:rsidTr="0016710D">
        <w:trPr>
          <w:trHeight w:val="16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2.3. Цель инвестиционного проекта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производство низко- и среднеуглеродистого ферромарганца. Сохранить уверенные позиции на рынке ферросплавов, повысить конкурентоспособность,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увеличить  прибыль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предприятия. </w:t>
            </w:r>
          </w:p>
        </w:tc>
      </w:tr>
      <w:tr w:rsidR="0016710D" w:rsidRPr="0016710D" w:rsidTr="0016710D">
        <w:trPr>
          <w:trHeight w:val="8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2.4. Краткое описание инвестиционного проекта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Строительства цеха по производству низко- и среднеуглеродистого ферромарганца конверторным способом на промышленной площадке АО "СЧПЗ"</w:t>
            </w:r>
          </w:p>
        </w:tc>
      </w:tr>
      <w:tr w:rsidR="0016710D" w:rsidRPr="0016710D" w:rsidTr="0016710D">
        <w:trPr>
          <w:trHeight w:val="15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2.5. Результат реализации инвестиционного проекта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В результате реализации инвестиционного проекта предприятие будет выпускать новый, востребованный на рынке продукт, обладающей высокой добавленной стоимостью и экспортным потенциалом, что позволит значительно увеличить выручку и прибыль предприятия.</w:t>
            </w:r>
          </w:p>
        </w:tc>
      </w:tr>
      <w:tr w:rsidR="0016710D" w:rsidRPr="0016710D" w:rsidTr="0016710D">
        <w:trPr>
          <w:trHeight w:val="3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2.6. Объем финансирования инвестиционного проекта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3000 млн. руб.</w:t>
            </w:r>
          </w:p>
        </w:tc>
      </w:tr>
      <w:tr w:rsidR="0016710D" w:rsidRPr="0016710D" w:rsidTr="0016710D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2.7. Предполагаемая структура финансирования инвестиционного проекта с указанием параметров привлечения финансирования: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2.7.1. собственный капитал;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900 млн. руб.</w:t>
            </w:r>
          </w:p>
        </w:tc>
      </w:tr>
      <w:tr w:rsidR="0016710D" w:rsidRPr="0016710D" w:rsidTr="0016710D">
        <w:trPr>
          <w:trHeight w:val="6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2.7.2. средства участников;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предприятие готово рассмотреть вариант долевого участия инвестора 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2.7.3. заемное финансирование, планируемый срок погашения кредитов и займов;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2100 млн. руб.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2.7.4. ожидаемый объем государственной поддержки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710D" w:rsidRPr="0016710D" w:rsidTr="0016710D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2.7.5. Объем инвестиций, необходимый от сторонних инвесторов для реализации проекта, млн. руб.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2100 млн. руб.</w:t>
            </w:r>
          </w:p>
        </w:tc>
      </w:tr>
      <w:tr w:rsidR="0016710D" w:rsidRPr="0016710D" w:rsidTr="0016710D">
        <w:trPr>
          <w:trHeight w:val="6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2.8. Показатели инвестиционной привлекательности инвестиционного проекта: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Проект находится на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прединвестиционной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фазе. По состоянию на 20.01.2021 г. показатели инвестиционной привлекательности проекта не рассчитывались.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2.8.1. Чистая приведенная стоимость инвестиционного проекта (NPV);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2.8.2. Внутренняя норма доходности инвестиционного проекта (IRR);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2.8.3. Срок окупаемости инвестиционного проекта (PBP);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2.8.4. Ставка дисконтирования (WACC);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2.8.5. Дисконтированный срок окупаемости инвестиционного проекта (DPBP) 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2.9 Наличие проектно-сметной документации по инвестиционному проекту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6710D" w:rsidRPr="0016710D" w:rsidTr="0016710D">
        <w:trPr>
          <w:trHeight w:val="31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2.10. Наличие необходимой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инженерной  инфраструктуры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для реализации инвестиционного проекта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У предприятия имеется вся необходимая инженерная инфраструктура. В 2020 г. на АО "СЧПЗ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"  завершилась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масштабная реконструкция действующей теплоэлектроцентрали, с установкой 3-х паровых котлов  и 2-х генераторов для выработки электрической энергии суммарной мощностью 12 МВт. Следовательно, инициатор проекта обладает собственным источником выработки электрической энергии, что в свою очередь дает огромные преимущества для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строительства  энергоемкого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конвертерного цеха.</w:t>
            </w:r>
          </w:p>
        </w:tc>
      </w:tr>
      <w:tr w:rsidR="0016710D" w:rsidRPr="0016710D" w:rsidTr="0016710D">
        <w:trPr>
          <w:trHeight w:val="21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2.11 Соответствие инвестиционного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проекта:   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2.11.1 целям указа Президента РФ от 07 мая 2012 г. №596 "О долгосрочной государственной экономической политике";                                                  2.11.2 отраслевым программным документам;              2.11.3 схеме территориального планирования Челябинской области и (или) муниципального образования    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</w:tr>
      <w:tr w:rsidR="0016710D" w:rsidRPr="0016710D" w:rsidTr="0016710D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2.12. Наличие инвестиционного проекта в стратегии социально-экономического развития муниципального образования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включен</w:t>
            </w:r>
          </w:p>
        </w:tc>
      </w:tr>
      <w:tr w:rsidR="0016710D" w:rsidRPr="0016710D" w:rsidTr="0016710D">
        <w:trPr>
          <w:trHeight w:val="9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2.13 Текущее состояние дел по инвестиционному проекту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Прединвестиционная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фаза.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Предпроектные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работы. Заключение контрактов </w:t>
            </w:r>
          </w:p>
        </w:tc>
      </w:tr>
      <w:tr w:rsidR="0016710D" w:rsidRPr="0016710D" w:rsidTr="0016710D">
        <w:trPr>
          <w:trHeight w:val="8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2.14 Предполагаемые формы сотрудничества со сторонним инвестором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Кредиты, лизинг, участие в капитале</w:t>
            </w:r>
          </w:p>
        </w:tc>
      </w:tr>
      <w:tr w:rsidR="0016710D" w:rsidRPr="0016710D" w:rsidTr="0016710D">
        <w:trPr>
          <w:trHeight w:val="300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3. Требования к инициаторам инвестиционного проекта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3.1. Инициаторы инвестиционного проекта: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АО "СЧПЗ"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3.1.1. юридическое лицо, реализующее инвестиционный проект;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АО "СЧПЗ"</w:t>
            </w:r>
          </w:p>
        </w:tc>
      </w:tr>
      <w:tr w:rsidR="0016710D" w:rsidRPr="0016710D" w:rsidTr="0016710D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3.1.2. акционеры (учредители) юридического лица, реализующего инвестиционный проект, владеющие пакетом акций более 5 процентов;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BONARDA  INVESTMENTS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LIMITED</w:t>
            </w:r>
          </w:p>
        </w:tc>
      </w:tr>
      <w:tr w:rsidR="0016710D" w:rsidRPr="0016710D" w:rsidTr="0016710D">
        <w:trPr>
          <w:trHeight w:val="31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3.2. Наличие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предпроектной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и необходимых компетенций в сфере реализации проектов в соответствующей отрасли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Предпроектной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нет. Металлургический завод в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Сатке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работает уже 260 лет. Это позволило накопить богатый опыт производства и сформировать высококвалифицированный персонал. На заводе постоянно ведутся работы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по  реконструкции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, модернизации, техническому перевооружению действующего производства и его расширению, а также осуществляются крупные инвестиционные проекты, последний из которых "Строительство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аглофабрики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" и "Реконструкция ТЭЦ"</w:t>
            </w:r>
          </w:p>
        </w:tc>
      </w:tr>
      <w:tr w:rsidR="0016710D" w:rsidRPr="0016710D" w:rsidTr="0016710D">
        <w:trPr>
          <w:trHeight w:val="300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4. Требования к продукции</w:t>
            </w:r>
          </w:p>
        </w:tc>
      </w:tr>
      <w:tr w:rsidR="0016710D" w:rsidRPr="0016710D" w:rsidTr="0016710D">
        <w:trPr>
          <w:trHeight w:val="20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4.1. Развитие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импортозамещения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и марганцевые ферросплавы включены в перечень приоритетных и критических с точки зрения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импортозамещения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видов продукции, по общероссийским данным доля отечественной продукции в потреблении составляет 65 %, соответственно доля импортной продукции в потреблении 35 %. Объем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производства  60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тыс. тонн в год. </w:t>
            </w:r>
          </w:p>
        </w:tc>
      </w:tr>
      <w:tr w:rsidR="0016710D" w:rsidRPr="0016710D" w:rsidTr="0016710D">
        <w:trPr>
          <w:trHeight w:val="16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4.2.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Экспортоориентированность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производство обладает высоким экспортным потенциалом. Новый продукт будет полностью соответствовать требованиям международных стандартов качества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и  будет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востребован на внешнем рынке.</w:t>
            </w:r>
          </w:p>
        </w:tc>
      </w:tr>
      <w:tr w:rsidR="0016710D" w:rsidRPr="0016710D" w:rsidTr="0016710D">
        <w:trPr>
          <w:trHeight w:val="12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4.3 Соответствие инвестиционного проекта целям модернизации и технологического развития российской и региональной экономики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</w:tr>
      <w:tr w:rsidR="0016710D" w:rsidRPr="0016710D" w:rsidTr="0016710D">
        <w:trPr>
          <w:trHeight w:val="300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5. Риски реализации инвестиционного проекта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5.1.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Страновые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риски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низкий уровень риска</w:t>
            </w:r>
          </w:p>
        </w:tc>
      </w:tr>
      <w:tr w:rsidR="0016710D" w:rsidRPr="0016710D" w:rsidTr="0016710D">
        <w:trPr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5.2. Отраслевые риски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средний уровень. Риск может быть связан с падением или стагнацией рынка, в следствии чего могут быть не достигнуты плановые объемы продаж, в большей степени за счет более низкой цены.</w:t>
            </w:r>
          </w:p>
        </w:tc>
      </w:tr>
      <w:tr w:rsidR="0016710D" w:rsidRPr="0016710D" w:rsidTr="0016710D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5.3. Правовые риски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средний уровень риска потерь из-за пробелов или нарушения юридических требований действующего законодательства</w:t>
            </w:r>
          </w:p>
        </w:tc>
      </w:tr>
      <w:tr w:rsidR="0016710D" w:rsidRPr="0016710D" w:rsidTr="0016710D">
        <w:trPr>
          <w:trHeight w:val="6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5.4. Прочие возможные риски, том числе: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710D" w:rsidRPr="0016710D" w:rsidTr="0016710D">
        <w:trPr>
          <w:trHeight w:val="21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5.4.1Технический риск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уровень. Строительно-монтажные риски могут быть связаны с ошибками при проектировании.  Эксплуатационные риски связаны с риском поломки оборудования. Степень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эксплутационных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рисков определяет размер материальных затрат на устранение последствий данных рисков и время, необходимое на проведение этих мероприятий</w:t>
            </w:r>
          </w:p>
        </w:tc>
      </w:tr>
      <w:tr w:rsidR="0016710D" w:rsidRPr="0016710D" w:rsidTr="0016710D">
        <w:trPr>
          <w:trHeight w:val="6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5.4.2 Риск дефицита квалифицированных кадров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</w:p>
        </w:tc>
      </w:tr>
      <w:tr w:rsidR="0016710D" w:rsidRPr="0016710D" w:rsidTr="0016710D">
        <w:trPr>
          <w:trHeight w:val="9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5.4.3 Риск повышения себестоимости продукции (в том числе, из-за роста курса валют)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риска, в основном связан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с  ростом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курса валют и цен на сырье, а так же с  инфляционными процессами в стране.</w:t>
            </w:r>
          </w:p>
        </w:tc>
      </w:tr>
      <w:tr w:rsidR="0016710D" w:rsidRPr="0016710D" w:rsidTr="0016710D">
        <w:trPr>
          <w:trHeight w:val="660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6. Анализ сильных и слабых сторон, возможностей и угроз инвестиционного проекта (SWOT-анализ)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Сильные стороны: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Наличее</w:t>
            </w:r>
            <w:proofErr w:type="spell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собственного источника выработки электрической энергии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Положительная репутация предприятия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Долгосрочное сотрудничество с поставщиками 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Использование современных технологий производства, не имеющих аналогов в России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Расширение ассортимента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Рост прибыли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Стабильный рост заработной платы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Постоянное совершенствование всех процессов производства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Систематическое обучение и повышение квалификации персонала всех уровней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Хорошая (сильная) социальная защищенность работников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Слабые стороны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отсутствие производственного опыта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высокая  зависимость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от действующего производства высокоуглеродистого ферромарганца</w:t>
            </w:r>
          </w:p>
        </w:tc>
      </w:tr>
      <w:tr w:rsidR="0016710D" w:rsidRPr="0016710D" w:rsidTr="0016710D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-энергоемкость производства, влекущая </w:t>
            </w:r>
            <w:proofErr w:type="gramStart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высокую  зависимость</w:t>
            </w:r>
            <w:proofErr w:type="gramEnd"/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от поставщиков  электроэнергии (от стабильной работы собственной ТЭЦ )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Возможности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Модернизация металлургической промышленности в России 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Рост доли рынка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Повышение экспортного потенциала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Переход на инновационный путь развития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Угрозы</w:t>
            </w:r>
          </w:p>
        </w:tc>
      </w:tr>
      <w:tr w:rsidR="0016710D" w:rsidRPr="0016710D" w:rsidTr="0016710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Повышение стоимости сырья, повышение себестоимости готовой продукции.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Стагнация и падение внутреннего рынка страны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 xml:space="preserve"> - нестабильный курс валюты</w:t>
            </w:r>
          </w:p>
        </w:tc>
      </w:tr>
      <w:tr w:rsidR="0016710D" w:rsidRPr="0016710D" w:rsidTr="0016710D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10D" w:rsidRPr="0016710D" w:rsidRDefault="0016710D" w:rsidP="00167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10D" w:rsidRPr="0016710D" w:rsidRDefault="0016710D" w:rsidP="0016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1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F5B2E" w:rsidRDefault="00FF5B2E" w:rsidP="0016710D">
      <w:pPr>
        <w:ind w:right="424"/>
      </w:pPr>
    </w:p>
    <w:sectPr w:rsidR="00FF5B2E" w:rsidSect="00776050">
      <w:pgSz w:w="11906" w:h="16838"/>
      <w:pgMar w:top="426" w:right="56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E6"/>
    <w:rsid w:val="0016710D"/>
    <w:rsid w:val="006571E6"/>
    <w:rsid w:val="00776050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B1DFB-A180-4B1E-B4FE-86BEB126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М. Притычкина</dc:creator>
  <cp:keywords/>
  <dc:description/>
  <cp:lastModifiedBy>Анастасия М. Притычкина</cp:lastModifiedBy>
  <cp:revision>3</cp:revision>
  <dcterms:created xsi:type="dcterms:W3CDTF">2021-01-22T06:42:00Z</dcterms:created>
  <dcterms:modified xsi:type="dcterms:W3CDTF">2021-01-22T06:46:00Z</dcterms:modified>
</cp:coreProperties>
</file>