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47" w:rsidRDefault="00677D82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20.3pt;margin-top:-20.25pt;width:338.4pt;height:180.6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" strokecolor="white [3212]">
            <v:textbox>
              <w:txbxContent>
                <w:p w:rsidR="00D47D47" w:rsidRPr="00D4250B" w:rsidRDefault="00D47D47" w:rsidP="00AB59E6">
                  <w:pPr>
                    <w:pStyle w:val="ConsPlusNormal"/>
                    <w:widowControl/>
                    <w:spacing w:line="360" w:lineRule="auto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                             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                                 распоряжением </w:t>
                  </w:r>
                  <w:r w:rsidRPr="00D47D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                                 Саткинского муниципального района</w:t>
                  </w:r>
                </w:p>
                <w:p w:rsidR="00D47D47" w:rsidRDefault="00AB59E6" w:rsidP="00AB59E6">
                  <w:pPr>
                    <w:pStyle w:val="ConsPlusNormal"/>
                    <w:widowControl/>
                    <w:spacing w:line="360" w:lineRule="auto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D47D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t xml:space="preserve"> _________ нной работыае                                                        М.В. Панариному хозяйству</w:t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>
                    <w:rPr>
                      <w:rFonts w:ascii="Times New Roman" w:hAnsi="Times New Roman" w:cs="Times New Roman"/>
                      <w:vanish/>
                      <w:sz w:val="24"/>
                      <w:szCs w:val="24"/>
                    </w:rPr>
                    <w:pgNum/>
                  </w:r>
                  <w:r w:rsidR="00D47D47" w:rsidRPr="00D425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 w:rsidR="00D47D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</w:t>
                  </w:r>
                  <w:r w:rsidR="00E84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46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</w:t>
                  </w:r>
                  <w:r w:rsidR="00E84C7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47D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 </w:t>
                  </w:r>
                  <w:r w:rsidR="00946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марта </w:t>
                  </w:r>
                  <w:r w:rsidR="00D47D47" w:rsidRPr="00D425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8A1D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D14F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D47D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  <w:r w:rsidR="00D47D47" w:rsidRPr="00D4250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 </w:t>
                  </w:r>
                  <w:r w:rsidR="009463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206</w:t>
                  </w:r>
                  <w:r w:rsidR="00E277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-р</w:t>
                  </w:r>
                </w:p>
                <w:p w:rsidR="00D47D47" w:rsidRDefault="00D47D47" w:rsidP="00AB59E6">
                  <w:pPr>
                    <w:pStyle w:val="ConsPlusNormal"/>
                    <w:widowControl/>
                    <w:spacing w:line="360" w:lineRule="auto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47D47" w:rsidRPr="00D4250B" w:rsidRDefault="00D47D47" w:rsidP="00D47D47">
                  <w:pPr>
                    <w:pStyle w:val="ConsPlusNormal"/>
                    <w:widowControl/>
                    <w:spacing w:line="360" w:lineRule="auto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47D47" w:rsidRDefault="00D47D47"/>
              </w:txbxContent>
            </v:textbox>
          </v:shape>
        </w:pict>
      </w:r>
    </w:p>
    <w:p w:rsidR="00D47D47" w:rsidRPr="00D47D47" w:rsidRDefault="00D47D47" w:rsidP="00D47D47"/>
    <w:p w:rsidR="00D47D47" w:rsidRPr="00D47D47" w:rsidRDefault="00D47D47" w:rsidP="00D47D47"/>
    <w:p w:rsidR="00D47D47" w:rsidRPr="00D47D47" w:rsidRDefault="00D47D47" w:rsidP="00D47D47"/>
    <w:p w:rsidR="00D47D47" w:rsidRPr="00D47D47" w:rsidRDefault="00D47D47" w:rsidP="00D47D47"/>
    <w:p w:rsidR="00D47D47" w:rsidRPr="00D47D47" w:rsidRDefault="00D47D47" w:rsidP="00D47D47"/>
    <w:p w:rsidR="00D47D47" w:rsidRDefault="00D47D47" w:rsidP="00D47D47"/>
    <w:p w:rsidR="00FB1269" w:rsidRDefault="00D47D47" w:rsidP="00AB59E6">
      <w:pPr>
        <w:tabs>
          <w:tab w:val="left" w:pos="350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47D47">
        <w:rPr>
          <w:rFonts w:ascii="Times New Roman" w:hAnsi="Times New Roman" w:cs="Times New Roman"/>
          <w:sz w:val="24"/>
          <w:szCs w:val="24"/>
        </w:rPr>
        <w:t xml:space="preserve">План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</w:p>
    <w:p w:rsidR="00D47D47" w:rsidRDefault="00D47D47" w:rsidP="00AB59E6">
      <w:pPr>
        <w:tabs>
          <w:tab w:val="left" w:pos="35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развитию муниципальной службы Администрации Саткинского муниципального района на 20</w:t>
      </w:r>
      <w:r w:rsidR="006F30CB">
        <w:rPr>
          <w:rFonts w:ascii="Times New Roman" w:hAnsi="Times New Roman" w:cs="Times New Roman"/>
          <w:sz w:val="24"/>
          <w:szCs w:val="24"/>
        </w:rPr>
        <w:t>2</w:t>
      </w:r>
      <w:r w:rsidR="00D14FF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5"/>
        <w:tblW w:w="14567" w:type="dxa"/>
        <w:tblLayout w:type="fixed"/>
        <w:tblLook w:val="04A0"/>
      </w:tblPr>
      <w:tblGrid>
        <w:gridCol w:w="540"/>
        <w:gridCol w:w="4813"/>
        <w:gridCol w:w="2552"/>
        <w:gridCol w:w="2976"/>
        <w:gridCol w:w="3686"/>
      </w:tblGrid>
      <w:tr w:rsidR="007D6CCB" w:rsidTr="00E61F24">
        <w:tc>
          <w:tcPr>
            <w:tcW w:w="540" w:type="dxa"/>
          </w:tcPr>
          <w:p w:rsidR="007D6CCB" w:rsidRDefault="007D6CCB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D6CCB" w:rsidRDefault="007D6CCB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3" w:type="dxa"/>
          </w:tcPr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CCB" w:rsidRPr="007D6CCB" w:rsidRDefault="007D6CCB" w:rsidP="007D6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6" w:type="dxa"/>
          </w:tcPr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3686" w:type="dxa"/>
          </w:tcPr>
          <w:p w:rsidR="007D6CCB" w:rsidRDefault="007D6CCB" w:rsidP="008712E5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8D46A4" w:rsidTr="00E61F24">
        <w:tc>
          <w:tcPr>
            <w:tcW w:w="14567" w:type="dxa"/>
            <w:gridSpan w:val="5"/>
          </w:tcPr>
          <w:p w:rsidR="008D46A4" w:rsidRPr="008D46A4" w:rsidRDefault="008D46A4" w:rsidP="008D46A4">
            <w:pPr>
              <w:pStyle w:val="a6"/>
              <w:numPr>
                <w:ilvl w:val="0"/>
                <w:numId w:val="1"/>
              </w:num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нормативно-правовой базы по вопросам муниципальной службы</w:t>
            </w:r>
          </w:p>
        </w:tc>
      </w:tr>
      <w:tr w:rsidR="007D6CCB" w:rsidTr="00E61F24">
        <w:tc>
          <w:tcPr>
            <w:tcW w:w="540" w:type="dxa"/>
          </w:tcPr>
          <w:p w:rsidR="007D6CCB" w:rsidRDefault="007D6CCB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13" w:type="dxa"/>
          </w:tcPr>
          <w:p w:rsidR="007D6CCB" w:rsidRDefault="007D6CCB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нормативно-правовых актов Администрации Саткинского муниципального района в соответствии с законодательством Российской Федерации и Челябинской области по вопросам муниципальной службы</w:t>
            </w:r>
          </w:p>
        </w:tc>
        <w:tc>
          <w:tcPr>
            <w:tcW w:w="2552" w:type="dxa"/>
          </w:tcPr>
          <w:p w:rsidR="007D6CCB" w:rsidRDefault="00B51F17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7D6CCB" w:rsidRDefault="00B51F17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686" w:type="dxa"/>
          </w:tcPr>
          <w:p w:rsidR="007D6CCB" w:rsidRDefault="00B51F17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отдел, отдел кадровой работы и муниципальной службы Управления делами и организационной работы</w:t>
            </w:r>
          </w:p>
        </w:tc>
      </w:tr>
      <w:tr w:rsidR="007D6CCB" w:rsidTr="00E61F24">
        <w:tc>
          <w:tcPr>
            <w:tcW w:w="540" w:type="dxa"/>
          </w:tcPr>
          <w:p w:rsidR="007D6CCB" w:rsidRDefault="006E416A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13" w:type="dxa"/>
          </w:tcPr>
          <w:p w:rsidR="007D6CCB" w:rsidRDefault="00486FCA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и совершенствование нормативно-правовой базы по вопросам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службы</w:t>
            </w:r>
          </w:p>
        </w:tc>
        <w:tc>
          <w:tcPr>
            <w:tcW w:w="2552" w:type="dxa"/>
          </w:tcPr>
          <w:p w:rsidR="007D6CCB" w:rsidRDefault="00486FCA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финансирования</w:t>
            </w:r>
          </w:p>
        </w:tc>
        <w:tc>
          <w:tcPr>
            <w:tcW w:w="2976" w:type="dxa"/>
          </w:tcPr>
          <w:p w:rsidR="007D6CCB" w:rsidRDefault="00486FCA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6" w:type="dxa"/>
          </w:tcPr>
          <w:p w:rsidR="007D6CCB" w:rsidRDefault="00486FCA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941C36" w:rsidTr="00E61F24">
        <w:tc>
          <w:tcPr>
            <w:tcW w:w="540" w:type="dxa"/>
          </w:tcPr>
          <w:p w:rsidR="00941C36" w:rsidRDefault="00941C36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4813" w:type="dxa"/>
          </w:tcPr>
          <w:p w:rsidR="00941C36" w:rsidRDefault="00941C36" w:rsidP="00941C36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 нормативно-правовых актов, регулирующих отношения в сфере муниципальной службы, требованиям действующего законодательства</w:t>
            </w:r>
          </w:p>
        </w:tc>
        <w:tc>
          <w:tcPr>
            <w:tcW w:w="2552" w:type="dxa"/>
          </w:tcPr>
          <w:p w:rsidR="00941C36" w:rsidRDefault="00941C36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941C36" w:rsidRDefault="00941C36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6" w:type="dxa"/>
          </w:tcPr>
          <w:p w:rsidR="00941C36" w:rsidRDefault="00941C36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E671CB" w:rsidTr="00E61F24">
        <w:tc>
          <w:tcPr>
            <w:tcW w:w="14567" w:type="dxa"/>
            <w:gridSpan w:val="5"/>
          </w:tcPr>
          <w:p w:rsidR="00E671CB" w:rsidRPr="00E671CB" w:rsidRDefault="007A533E" w:rsidP="00AB59E6">
            <w:pPr>
              <w:pStyle w:val="a6"/>
              <w:numPr>
                <w:ilvl w:val="0"/>
                <w:numId w:val="1"/>
              </w:num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эффективных механизмов подбора кадров для муниципальной службы</w:t>
            </w:r>
          </w:p>
        </w:tc>
      </w:tr>
      <w:tr w:rsidR="00941C36" w:rsidTr="00E61F24">
        <w:tc>
          <w:tcPr>
            <w:tcW w:w="540" w:type="dxa"/>
          </w:tcPr>
          <w:p w:rsidR="00941C36" w:rsidRDefault="00024060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13" w:type="dxa"/>
          </w:tcPr>
          <w:p w:rsidR="00941C36" w:rsidRDefault="000C2D4F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конкурсов на включение в кадровый резерв</w:t>
            </w:r>
          </w:p>
        </w:tc>
        <w:tc>
          <w:tcPr>
            <w:tcW w:w="2552" w:type="dxa"/>
          </w:tcPr>
          <w:p w:rsidR="00941C36" w:rsidRDefault="000C2D4F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941C36" w:rsidRDefault="000C2D4F" w:rsidP="000C2D4F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  <w:tc>
          <w:tcPr>
            <w:tcW w:w="3686" w:type="dxa"/>
          </w:tcPr>
          <w:p w:rsidR="00941C36" w:rsidRDefault="000C2D4F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941C36" w:rsidTr="00E61F24">
        <w:tc>
          <w:tcPr>
            <w:tcW w:w="540" w:type="dxa"/>
          </w:tcPr>
          <w:p w:rsidR="00941C36" w:rsidRDefault="00842DBB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13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кадровом резерве на официальном сайте администрации Саткинского муниципального района</w:t>
            </w:r>
          </w:p>
        </w:tc>
        <w:tc>
          <w:tcPr>
            <w:tcW w:w="2552" w:type="dxa"/>
          </w:tcPr>
          <w:p w:rsidR="00941C36" w:rsidRDefault="00D25EF1" w:rsidP="00D25EF1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  <w:r w:rsidRPr="00D25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686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и отдел информационных технологий Управления делами и организационной работы</w:t>
            </w:r>
          </w:p>
        </w:tc>
      </w:tr>
      <w:tr w:rsidR="00941C36" w:rsidTr="00E61F24">
        <w:tc>
          <w:tcPr>
            <w:tcW w:w="540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813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формированию и эффективному использованию кадрового резерва</w:t>
            </w:r>
          </w:p>
        </w:tc>
        <w:tc>
          <w:tcPr>
            <w:tcW w:w="2552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686" w:type="dxa"/>
          </w:tcPr>
          <w:p w:rsidR="00941C36" w:rsidRDefault="00D25EF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941C36" w:rsidTr="00E61F24">
        <w:tc>
          <w:tcPr>
            <w:tcW w:w="540" w:type="dxa"/>
          </w:tcPr>
          <w:p w:rsidR="00941C36" w:rsidRDefault="00EF558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813" w:type="dxa"/>
          </w:tcPr>
          <w:p w:rsidR="00941C36" w:rsidRDefault="00EF558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студентами практики (стажировки)</w:t>
            </w:r>
          </w:p>
        </w:tc>
        <w:tc>
          <w:tcPr>
            <w:tcW w:w="2552" w:type="dxa"/>
          </w:tcPr>
          <w:p w:rsidR="00941C36" w:rsidRDefault="00EF558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941C36" w:rsidRDefault="00EF558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686" w:type="dxa"/>
          </w:tcPr>
          <w:p w:rsidR="00941C36" w:rsidRDefault="00EF558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кадровой работы и муниципальной службы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делами и организационной работы</w:t>
            </w:r>
          </w:p>
        </w:tc>
      </w:tr>
      <w:tr w:rsidR="00806EE1" w:rsidTr="00E61F24">
        <w:tc>
          <w:tcPr>
            <w:tcW w:w="14567" w:type="dxa"/>
            <w:gridSpan w:val="5"/>
          </w:tcPr>
          <w:p w:rsidR="00806EE1" w:rsidRPr="00806EE1" w:rsidRDefault="0008441E" w:rsidP="00AB59E6">
            <w:pPr>
              <w:pStyle w:val="a6"/>
              <w:numPr>
                <w:ilvl w:val="0"/>
                <w:numId w:val="1"/>
              </w:num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условий для профессионального развития и подготовки кадров</w:t>
            </w:r>
          </w:p>
        </w:tc>
      </w:tr>
      <w:tr w:rsidR="00941C36" w:rsidTr="00E61F24">
        <w:tc>
          <w:tcPr>
            <w:tcW w:w="540" w:type="dxa"/>
          </w:tcPr>
          <w:p w:rsidR="00941C36" w:rsidRDefault="0008441E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813" w:type="dxa"/>
          </w:tcPr>
          <w:p w:rsidR="00941C36" w:rsidRDefault="0008441E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на курсах повышения квалификации муниципальных служащих Администрации Саткинского муниципального района</w:t>
            </w:r>
          </w:p>
        </w:tc>
        <w:tc>
          <w:tcPr>
            <w:tcW w:w="2552" w:type="dxa"/>
          </w:tcPr>
          <w:p w:rsidR="00941C36" w:rsidRDefault="00D14FF1" w:rsidP="0008441E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8441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976" w:type="dxa"/>
          </w:tcPr>
          <w:p w:rsidR="00941C36" w:rsidRDefault="0008441E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заявкам руководителей управле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ний и отделов</w:t>
            </w:r>
          </w:p>
        </w:tc>
        <w:tc>
          <w:tcPr>
            <w:tcW w:w="3686" w:type="dxa"/>
          </w:tcPr>
          <w:p w:rsidR="00941C36" w:rsidRDefault="0008441E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F02E77" w:rsidTr="00E61F24">
        <w:tc>
          <w:tcPr>
            <w:tcW w:w="540" w:type="dxa"/>
          </w:tcPr>
          <w:p w:rsidR="00F02E77" w:rsidRDefault="00F02E77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813" w:type="dxa"/>
          </w:tcPr>
          <w:p w:rsidR="00F02E77" w:rsidRDefault="00F02E77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учебных семинаров для муниципальных служащих Администрации Саткинского муниципального района и лиц, включенных в резерв для замещения вакантных должностей муниципальной службы</w:t>
            </w:r>
          </w:p>
        </w:tc>
        <w:tc>
          <w:tcPr>
            <w:tcW w:w="2552" w:type="dxa"/>
          </w:tcPr>
          <w:p w:rsidR="00F02E77" w:rsidRDefault="00F02E77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F02E77" w:rsidRDefault="00F02E77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заявкам руководителей управлений и отделов</w:t>
            </w:r>
          </w:p>
        </w:tc>
        <w:tc>
          <w:tcPr>
            <w:tcW w:w="3686" w:type="dxa"/>
          </w:tcPr>
          <w:p w:rsidR="00F02E77" w:rsidRDefault="00F02E77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F02E77" w:rsidTr="00E61F24">
        <w:tc>
          <w:tcPr>
            <w:tcW w:w="540" w:type="dxa"/>
          </w:tcPr>
          <w:p w:rsidR="00F02E77" w:rsidRDefault="00D01C7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813" w:type="dxa"/>
          </w:tcPr>
          <w:p w:rsidR="00F02E77" w:rsidRDefault="00D01C7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семинарах, конференциях и других мероприятий </w:t>
            </w:r>
            <w:r w:rsidR="009565F0">
              <w:rPr>
                <w:rFonts w:ascii="Times New Roman" w:hAnsi="Times New Roman" w:cs="Times New Roman"/>
                <w:sz w:val="24"/>
                <w:szCs w:val="24"/>
              </w:rPr>
              <w:t>по вопросам, входящим в компетенцию Администрации Саткинского муниципального района</w:t>
            </w:r>
          </w:p>
        </w:tc>
        <w:tc>
          <w:tcPr>
            <w:tcW w:w="2552" w:type="dxa"/>
          </w:tcPr>
          <w:p w:rsidR="00F02E77" w:rsidRDefault="009565F0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F02E77" w:rsidRDefault="009565F0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686" w:type="dxa"/>
          </w:tcPr>
          <w:p w:rsidR="00F02E77" w:rsidRDefault="009565F0" w:rsidP="009565F0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отделы и управления Администрации</w:t>
            </w:r>
          </w:p>
        </w:tc>
      </w:tr>
      <w:tr w:rsidR="008D32D1" w:rsidTr="00E61F24">
        <w:tc>
          <w:tcPr>
            <w:tcW w:w="14567" w:type="dxa"/>
            <w:gridSpan w:val="5"/>
          </w:tcPr>
          <w:p w:rsidR="008D32D1" w:rsidRPr="008D32D1" w:rsidRDefault="008D32D1" w:rsidP="008D32D1">
            <w:pPr>
              <w:pStyle w:val="a6"/>
              <w:numPr>
                <w:ilvl w:val="0"/>
                <w:numId w:val="1"/>
              </w:num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прохождения муниципальной службы</w:t>
            </w:r>
          </w:p>
        </w:tc>
      </w:tr>
      <w:tr w:rsidR="008D32D1" w:rsidTr="00E61F24">
        <w:tc>
          <w:tcPr>
            <w:tcW w:w="540" w:type="dxa"/>
          </w:tcPr>
          <w:p w:rsidR="008D32D1" w:rsidRDefault="008D32D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813" w:type="dxa"/>
          </w:tcPr>
          <w:p w:rsidR="008D32D1" w:rsidRDefault="008D32D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аттестации муниципальных служащих Администрации Саткинского муниципального района</w:t>
            </w:r>
          </w:p>
        </w:tc>
        <w:tc>
          <w:tcPr>
            <w:tcW w:w="2552" w:type="dxa"/>
          </w:tcPr>
          <w:p w:rsidR="008D32D1" w:rsidRDefault="008D32D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8D32D1" w:rsidRDefault="008D32D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три года</w:t>
            </w:r>
          </w:p>
        </w:tc>
        <w:tc>
          <w:tcPr>
            <w:tcW w:w="3686" w:type="dxa"/>
          </w:tcPr>
          <w:p w:rsidR="008D32D1" w:rsidRDefault="008D32D1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8D32D1" w:rsidTr="00E61F24">
        <w:tc>
          <w:tcPr>
            <w:tcW w:w="540" w:type="dxa"/>
          </w:tcPr>
          <w:p w:rsidR="008D32D1" w:rsidRDefault="008D32D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813" w:type="dxa"/>
          </w:tcPr>
          <w:p w:rsidR="008D32D1" w:rsidRDefault="008D32D1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по вопросам муниципальной службы в средствах массовой информации и на сайте Администрации Саткинского муниципального района</w:t>
            </w:r>
          </w:p>
        </w:tc>
        <w:tc>
          <w:tcPr>
            <w:tcW w:w="2552" w:type="dxa"/>
          </w:tcPr>
          <w:p w:rsidR="008D32D1" w:rsidRDefault="008D32D1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8D32D1" w:rsidRDefault="008D32D1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686" w:type="dxa"/>
          </w:tcPr>
          <w:p w:rsidR="008D32D1" w:rsidRDefault="008D32D1" w:rsidP="00AD1F1D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224EE6" w:rsidTr="00E61F24">
        <w:tc>
          <w:tcPr>
            <w:tcW w:w="14567" w:type="dxa"/>
            <w:gridSpan w:val="5"/>
          </w:tcPr>
          <w:p w:rsidR="00224EE6" w:rsidRPr="00224EE6" w:rsidRDefault="00224EE6" w:rsidP="00224EE6">
            <w:pPr>
              <w:pStyle w:val="a6"/>
              <w:numPr>
                <w:ilvl w:val="0"/>
                <w:numId w:val="1"/>
              </w:num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 по противодействию коррупции на муниципальной службе</w:t>
            </w:r>
          </w:p>
        </w:tc>
      </w:tr>
      <w:tr w:rsidR="008D32D1" w:rsidTr="00E61F24">
        <w:tc>
          <w:tcPr>
            <w:tcW w:w="540" w:type="dxa"/>
          </w:tcPr>
          <w:p w:rsidR="008D32D1" w:rsidRDefault="00D13FE2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813" w:type="dxa"/>
          </w:tcPr>
          <w:p w:rsidR="008D32D1" w:rsidRDefault="00D13FE2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проверочных мероприятий достоверности и полноты представляемых муниципальными служащими персональных данных и иных сведений при поступлении на муниципальную службу</w:t>
            </w:r>
          </w:p>
        </w:tc>
        <w:tc>
          <w:tcPr>
            <w:tcW w:w="2552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8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8D32D1" w:rsidTr="00E61F24">
        <w:tc>
          <w:tcPr>
            <w:tcW w:w="540" w:type="dxa"/>
          </w:tcPr>
          <w:p w:rsidR="008D32D1" w:rsidRDefault="000C763A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813" w:type="dxa"/>
          </w:tcPr>
          <w:p w:rsidR="008D32D1" w:rsidRDefault="00B151A5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соблюдений муниципальными служащими запретов и ограничений, установленных Федеральным законом от 02.03.2007 № 25-ФЗ «О муниципальной службе в Российской Федерации»</w:t>
            </w:r>
          </w:p>
        </w:tc>
        <w:tc>
          <w:tcPr>
            <w:tcW w:w="2552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8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8D32D1" w:rsidTr="00E61F24">
        <w:tc>
          <w:tcPr>
            <w:tcW w:w="540" w:type="dxa"/>
          </w:tcPr>
          <w:p w:rsidR="008D32D1" w:rsidRDefault="0063639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813" w:type="dxa"/>
          </w:tcPr>
          <w:p w:rsidR="0063639C" w:rsidRDefault="0063639C" w:rsidP="00E61F2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обеспечение функционирования комиссии по соблюдению требований к служебному поведению и урегулированию конфликта интересов муниципальных служащих Администрации Саткинского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2552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финансирования</w:t>
            </w:r>
          </w:p>
        </w:tc>
        <w:tc>
          <w:tcPr>
            <w:tcW w:w="297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8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  <w:tr w:rsidR="008D32D1" w:rsidTr="00E61F24">
        <w:tc>
          <w:tcPr>
            <w:tcW w:w="540" w:type="dxa"/>
          </w:tcPr>
          <w:p w:rsidR="008D32D1" w:rsidRDefault="0063639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4813" w:type="dxa"/>
          </w:tcPr>
          <w:p w:rsidR="008D32D1" w:rsidRDefault="0063639C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своевременным и полным предоставлением муниципальными служащими сведений о доходах, расходах, об имуществе и обязательствах имущественного характера</w:t>
            </w:r>
          </w:p>
        </w:tc>
        <w:tc>
          <w:tcPr>
            <w:tcW w:w="2552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97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686" w:type="dxa"/>
          </w:tcPr>
          <w:p w:rsidR="008D32D1" w:rsidRDefault="00047BD4" w:rsidP="00396734">
            <w:pPr>
              <w:tabs>
                <w:tab w:val="left" w:pos="350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кадровой работы и муниципальной службы Управления делами и организационной работы</w:t>
            </w:r>
          </w:p>
        </w:tc>
      </w:tr>
    </w:tbl>
    <w:p w:rsidR="00D47D47" w:rsidRPr="00D47D47" w:rsidRDefault="00D47D47" w:rsidP="00E21ED4">
      <w:pPr>
        <w:tabs>
          <w:tab w:val="left" w:pos="350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47D47" w:rsidRPr="00D47D47" w:rsidSect="00E21ED4">
      <w:headerReference w:type="default" r:id="rId7"/>
      <w:pgSz w:w="16838" w:h="11906" w:orient="landscape"/>
      <w:pgMar w:top="567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E8D" w:rsidRDefault="00786E8D" w:rsidP="00E21ED4">
      <w:pPr>
        <w:spacing w:after="0" w:line="240" w:lineRule="auto"/>
      </w:pPr>
      <w:r>
        <w:separator/>
      </w:r>
    </w:p>
  </w:endnote>
  <w:endnote w:type="continuationSeparator" w:id="0">
    <w:p w:rsidR="00786E8D" w:rsidRDefault="00786E8D" w:rsidP="00E2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E8D" w:rsidRDefault="00786E8D" w:rsidP="00E21ED4">
      <w:pPr>
        <w:spacing w:after="0" w:line="240" w:lineRule="auto"/>
      </w:pPr>
      <w:r>
        <w:separator/>
      </w:r>
    </w:p>
  </w:footnote>
  <w:footnote w:type="continuationSeparator" w:id="0">
    <w:p w:rsidR="00786E8D" w:rsidRDefault="00786E8D" w:rsidP="00E2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534079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21ED4" w:rsidRPr="00E21ED4" w:rsidRDefault="00677D82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21ED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21ED4" w:rsidRPr="00E21ED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1ED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630B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E21ED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21ED4" w:rsidRDefault="00E21ED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0B91"/>
    <w:multiLevelType w:val="hybridMultilevel"/>
    <w:tmpl w:val="2A428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D47"/>
    <w:rsid w:val="000004EB"/>
    <w:rsid w:val="00024060"/>
    <w:rsid w:val="00041119"/>
    <w:rsid w:val="000436FE"/>
    <w:rsid w:val="00047BD4"/>
    <w:rsid w:val="000737AD"/>
    <w:rsid w:val="0007744A"/>
    <w:rsid w:val="0008441E"/>
    <w:rsid w:val="000C2D4F"/>
    <w:rsid w:val="000C763A"/>
    <w:rsid w:val="00113775"/>
    <w:rsid w:val="0013471D"/>
    <w:rsid w:val="00144BE6"/>
    <w:rsid w:val="001464C4"/>
    <w:rsid w:val="0015185E"/>
    <w:rsid w:val="001B1810"/>
    <w:rsid w:val="001E1D14"/>
    <w:rsid w:val="001F78F1"/>
    <w:rsid w:val="00202A11"/>
    <w:rsid w:val="00205B41"/>
    <w:rsid w:val="00224EE6"/>
    <w:rsid w:val="00251247"/>
    <w:rsid w:val="002556E2"/>
    <w:rsid w:val="00257FFB"/>
    <w:rsid w:val="00272B24"/>
    <w:rsid w:val="00283206"/>
    <w:rsid w:val="00283B69"/>
    <w:rsid w:val="002A7DA4"/>
    <w:rsid w:val="002A7F69"/>
    <w:rsid w:val="003205A8"/>
    <w:rsid w:val="00343E04"/>
    <w:rsid w:val="0035497A"/>
    <w:rsid w:val="00361857"/>
    <w:rsid w:val="00373BDF"/>
    <w:rsid w:val="0037571A"/>
    <w:rsid w:val="00380C2A"/>
    <w:rsid w:val="00381303"/>
    <w:rsid w:val="00396734"/>
    <w:rsid w:val="0042260B"/>
    <w:rsid w:val="00436AE1"/>
    <w:rsid w:val="004743EF"/>
    <w:rsid w:val="00486FCA"/>
    <w:rsid w:val="004A25E3"/>
    <w:rsid w:val="004A27E8"/>
    <w:rsid w:val="004C142F"/>
    <w:rsid w:val="004C37A0"/>
    <w:rsid w:val="004D7C3C"/>
    <w:rsid w:val="00503604"/>
    <w:rsid w:val="005209D2"/>
    <w:rsid w:val="005311E8"/>
    <w:rsid w:val="00534475"/>
    <w:rsid w:val="0055341C"/>
    <w:rsid w:val="005C3987"/>
    <w:rsid w:val="005D5FAB"/>
    <w:rsid w:val="005E24E4"/>
    <w:rsid w:val="005E6700"/>
    <w:rsid w:val="006054F1"/>
    <w:rsid w:val="00607D4C"/>
    <w:rsid w:val="00611F29"/>
    <w:rsid w:val="0061788B"/>
    <w:rsid w:val="00624E5E"/>
    <w:rsid w:val="006258D3"/>
    <w:rsid w:val="0063639C"/>
    <w:rsid w:val="00645B64"/>
    <w:rsid w:val="00675B16"/>
    <w:rsid w:val="00677D82"/>
    <w:rsid w:val="006B4F90"/>
    <w:rsid w:val="006D1A86"/>
    <w:rsid w:val="006E416A"/>
    <w:rsid w:val="006F30CB"/>
    <w:rsid w:val="006F64D2"/>
    <w:rsid w:val="00702918"/>
    <w:rsid w:val="00715A2E"/>
    <w:rsid w:val="007221CA"/>
    <w:rsid w:val="00722D03"/>
    <w:rsid w:val="00737169"/>
    <w:rsid w:val="00757362"/>
    <w:rsid w:val="00762279"/>
    <w:rsid w:val="00783E19"/>
    <w:rsid w:val="00786E8D"/>
    <w:rsid w:val="007A4F3A"/>
    <w:rsid w:val="007A533E"/>
    <w:rsid w:val="007B1C9B"/>
    <w:rsid w:val="007C0A19"/>
    <w:rsid w:val="007D1379"/>
    <w:rsid w:val="007D6CCB"/>
    <w:rsid w:val="007D7AC0"/>
    <w:rsid w:val="00806EE1"/>
    <w:rsid w:val="008133B2"/>
    <w:rsid w:val="00813CAA"/>
    <w:rsid w:val="00817192"/>
    <w:rsid w:val="00820118"/>
    <w:rsid w:val="00836ADD"/>
    <w:rsid w:val="00842DBB"/>
    <w:rsid w:val="008712E5"/>
    <w:rsid w:val="00897110"/>
    <w:rsid w:val="008A1D9A"/>
    <w:rsid w:val="008B49C9"/>
    <w:rsid w:val="008C7CBE"/>
    <w:rsid w:val="008D2175"/>
    <w:rsid w:val="008D32D1"/>
    <w:rsid w:val="008D46A4"/>
    <w:rsid w:val="008E1EFF"/>
    <w:rsid w:val="009028C5"/>
    <w:rsid w:val="00904635"/>
    <w:rsid w:val="00932EB3"/>
    <w:rsid w:val="00941C36"/>
    <w:rsid w:val="00942635"/>
    <w:rsid w:val="0094630B"/>
    <w:rsid w:val="009565F0"/>
    <w:rsid w:val="00972AE8"/>
    <w:rsid w:val="00990309"/>
    <w:rsid w:val="00994CBA"/>
    <w:rsid w:val="009A2137"/>
    <w:rsid w:val="009B51F9"/>
    <w:rsid w:val="009B5CAA"/>
    <w:rsid w:val="009F073F"/>
    <w:rsid w:val="009F1E6B"/>
    <w:rsid w:val="009F4626"/>
    <w:rsid w:val="00A048C4"/>
    <w:rsid w:val="00A06E7E"/>
    <w:rsid w:val="00A13006"/>
    <w:rsid w:val="00A57F6D"/>
    <w:rsid w:val="00A771FA"/>
    <w:rsid w:val="00A956D4"/>
    <w:rsid w:val="00AA42CC"/>
    <w:rsid w:val="00AA79AE"/>
    <w:rsid w:val="00AB1F6D"/>
    <w:rsid w:val="00AB59E6"/>
    <w:rsid w:val="00AC2A94"/>
    <w:rsid w:val="00AE6AA8"/>
    <w:rsid w:val="00AF5775"/>
    <w:rsid w:val="00B151A5"/>
    <w:rsid w:val="00B24340"/>
    <w:rsid w:val="00B51F17"/>
    <w:rsid w:val="00B71BEB"/>
    <w:rsid w:val="00B736B3"/>
    <w:rsid w:val="00B84AFC"/>
    <w:rsid w:val="00B944D8"/>
    <w:rsid w:val="00B95420"/>
    <w:rsid w:val="00BF68D1"/>
    <w:rsid w:val="00C27073"/>
    <w:rsid w:val="00C34037"/>
    <w:rsid w:val="00C564F3"/>
    <w:rsid w:val="00C66B8A"/>
    <w:rsid w:val="00C67E7F"/>
    <w:rsid w:val="00C71B77"/>
    <w:rsid w:val="00C95FA1"/>
    <w:rsid w:val="00CB2AB5"/>
    <w:rsid w:val="00CC5A67"/>
    <w:rsid w:val="00CD1320"/>
    <w:rsid w:val="00CD7698"/>
    <w:rsid w:val="00CE72A8"/>
    <w:rsid w:val="00D01C71"/>
    <w:rsid w:val="00D03A39"/>
    <w:rsid w:val="00D06CBF"/>
    <w:rsid w:val="00D13FE2"/>
    <w:rsid w:val="00D14FF1"/>
    <w:rsid w:val="00D25EF1"/>
    <w:rsid w:val="00D47D47"/>
    <w:rsid w:val="00D51EF2"/>
    <w:rsid w:val="00D5796F"/>
    <w:rsid w:val="00D72E0B"/>
    <w:rsid w:val="00D7317D"/>
    <w:rsid w:val="00D77D42"/>
    <w:rsid w:val="00DA4542"/>
    <w:rsid w:val="00DA7F3E"/>
    <w:rsid w:val="00DE0493"/>
    <w:rsid w:val="00DE5859"/>
    <w:rsid w:val="00E012B9"/>
    <w:rsid w:val="00E01BFE"/>
    <w:rsid w:val="00E21ED4"/>
    <w:rsid w:val="00E228BB"/>
    <w:rsid w:val="00E2771D"/>
    <w:rsid w:val="00E332C1"/>
    <w:rsid w:val="00E37B19"/>
    <w:rsid w:val="00E47BC2"/>
    <w:rsid w:val="00E61F24"/>
    <w:rsid w:val="00E671CB"/>
    <w:rsid w:val="00E83286"/>
    <w:rsid w:val="00E84C7F"/>
    <w:rsid w:val="00E90EC2"/>
    <w:rsid w:val="00EB67F6"/>
    <w:rsid w:val="00EC6173"/>
    <w:rsid w:val="00ED1D50"/>
    <w:rsid w:val="00EE1334"/>
    <w:rsid w:val="00EE63D1"/>
    <w:rsid w:val="00EF558C"/>
    <w:rsid w:val="00F02E77"/>
    <w:rsid w:val="00F111ED"/>
    <w:rsid w:val="00F16A4B"/>
    <w:rsid w:val="00F25977"/>
    <w:rsid w:val="00F25D2B"/>
    <w:rsid w:val="00F309ED"/>
    <w:rsid w:val="00F47059"/>
    <w:rsid w:val="00F552C2"/>
    <w:rsid w:val="00F63FA6"/>
    <w:rsid w:val="00F94B4F"/>
    <w:rsid w:val="00FA0C5F"/>
    <w:rsid w:val="00FA3147"/>
    <w:rsid w:val="00FB1269"/>
    <w:rsid w:val="00FC06D5"/>
    <w:rsid w:val="00FF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D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47D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396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D46A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21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1ED4"/>
  </w:style>
  <w:style w:type="paragraph" w:styleId="a9">
    <w:name w:val="footer"/>
    <w:basedOn w:val="a"/>
    <w:link w:val="aa"/>
    <w:uiPriority w:val="99"/>
    <w:unhideWhenUsed/>
    <w:rsid w:val="00E21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1E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Г.М.Р. Глинина Робертовна</dc:creator>
  <cp:lastModifiedBy>marele</cp:lastModifiedBy>
  <cp:revision>2</cp:revision>
  <cp:lastPrinted>2021-02-26T04:32:00Z</cp:lastPrinted>
  <dcterms:created xsi:type="dcterms:W3CDTF">2021-03-01T04:45:00Z</dcterms:created>
  <dcterms:modified xsi:type="dcterms:W3CDTF">2021-03-01T04:45:00Z</dcterms:modified>
</cp:coreProperties>
</file>