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5E7" w:rsidRPr="003305E7" w:rsidRDefault="003305E7" w:rsidP="003305E7">
      <w:pPr>
        <w:tabs>
          <w:tab w:val="left" w:pos="9639"/>
        </w:tabs>
        <w:suppressAutoHyphens/>
        <w:spacing w:after="0" w:line="100" w:lineRule="atLeast"/>
        <w:ind w:left="9639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05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ПРИЛОЖЕНИЕ 2</w:t>
      </w:r>
    </w:p>
    <w:p w:rsidR="003305E7" w:rsidRDefault="003305E7" w:rsidP="003305E7">
      <w:pPr>
        <w:tabs>
          <w:tab w:val="left" w:pos="9639"/>
        </w:tabs>
        <w:suppressAutoHyphens/>
        <w:spacing w:after="0" w:line="100" w:lineRule="atLeast"/>
        <w:ind w:left="9639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05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к программе по достижению целевых показателей </w:t>
      </w:r>
    </w:p>
    <w:p w:rsidR="003305E7" w:rsidRPr="003305E7" w:rsidRDefault="003305E7" w:rsidP="003305E7">
      <w:pPr>
        <w:tabs>
          <w:tab w:val="left" w:pos="9639"/>
        </w:tabs>
        <w:suppressAutoHyphens/>
        <w:spacing w:after="0" w:line="100" w:lineRule="atLeast"/>
        <w:ind w:left="9639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05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социально-экономического развития</w:t>
      </w:r>
    </w:p>
    <w:p w:rsidR="003305E7" w:rsidRPr="003305E7" w:rsidRDefault="003305E7" w:rsidP="003305E7">
      <w:pPr>
        <w:tabs>
          <w:tab w:val="left" w:pos="9639"/>
        </w:tabs>
        <w:suppressAutoHyphens/>
        <w:spacing w:after="0" w:line="100" w:lineRule="atLeast"/>
        <w:ind w:left="9639"/>
        <w:jc w:val="center"/>
        <w:textAlignment w:val="baseline"/>
        <w:rPr>
          <w:rFonts w:ascii="Times New Roman" w:eastAsia="Times New Roman" w:hAnsi="Times New Roman" w:cs="Times New Roman"/>
          <w:spacing w:val="-2"/>
          <w:kern w:val="1"/>
          <w:sz w:val="24"/>
          <w:szCs w:val="24"/>
          <w:lang w:eastAsia="ar-SA"/>
        </w:rPr>
      </w:pPr>
      <w:r w:rsidRPr="003305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 Саткинском муниципальном районе Челябинской области на 2019 год и плановый период до 2024 года</w:t>
      </w:r>
    </w:p>
    <w:p w:rsidR="003305E7" w:rsidRPr="003305E7" w:rsidRDefault="003305E7" w:rsidP="003305E7">
      <w:pPr>
        <w:tabs>
          <w:tab w:val="left" w:pos="38"/>
        </w:tabs>
        <w:suppressAutoHyphens/>
        <w:spacing w:after="0" w:line="100" w:lineRule="atLeast"/>
        <w:textAlignment w:val="baseline"/>
        <w:rPr>
          <w:rFonts w:ascii="Times New Roman" w:eastAsia="Times New Roman" w:hAnsi="Times New Roman" w:cs="Times New Roman"/>
          <w:spacing w:val="-2"/>
          <w:kern w:val="1"/>
          <w:sz w:val="24"/>
          <w:szCs w:val="24"/>
          <w:lang w:eastAsia="ar-SA"/>
        </w:rPr>
      </w:pPr>
    </w:p>
    <w:p w:rsidR="003305E7" w:rsidRPr="003305E7" w:rsidRDefault="003305E7" w:rsidP="003305E7">
      <w:pPr>
        <w:suppressAutoHyphens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05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Портфель инвестиционных проектов, реализуемых на территории Саткинского муниципального района Челябинской области </w:t>
      </w:r>
    </w:p>
    <w:p w:rsidR="003305E7" w:rsidRPr="003305E7" w:rsidRDefault="003305E7" w:rsidP="003305E7">
      <w:pPr>
        <w:suppressAutoHyphens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05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 2019 году и плановый период до 2024 года</w:t>
      </w:r>
    </w:p>
    <w:p w:rsidR="003305E7" w:rsidRPr="003305E7" w:rsidRDefault="003305E7" w:rsidP="003305E7">
      <w:pPr>
        <w:suppressAutoHyphens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05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 новой редакции</w:t>
      </w:r>
    </w:p>
    <w:p w:rsidR="003305E7" w:rsidRPr="003305E7" w:rsidRDefault="003305E7" w:rsidP="003305E7">
      <w:pPr>
        <w:suppressAutoHyphens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tbl>
      <w:tblPr>
        <w:tblW w:w="15633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95"/>
        <w:gridCol w:w="2517"/>
        <w:gridCol w:w="1323"/>
        <w:gridCol w:w="1842"/>
        <w:gridCol w:w="1560"/>
        <w:gridCol w:w="1280"/>
        <w:gridCol w:w="1280"/>
        <w:gridCol w:w="1692"/>
        <w:gridCol w:w="3544"/>
      </w:tblGrid>
      <w:tr w:rsidR="003305E7" w:rsidRPr="005E5726" w:rsidTr="00AF42B5">
        <w:trPr>
          <w:trHeight w:val="376"/>
        </w:trPr>
        <w:tc>
          <w:tcPr>
            <w:tcW w:w="595" w:type="dxa"/>
            <w:vMerge w:val="restart"/>
            <w:hideMark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</w:t>
            </w:r>
            <w:proofErr w:type="gramEnd"/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517" w:type="dxa"/>
            <w:vMerge w:val="restart"/>
            <w:hideMark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Наименование инвестиционного проекта</w:t>
            </w:r>
          </w:p>
        </w:tc>
        <w:tc>
          <w:tcPr>
            <w:tcW w:w="1323" w:type="dxa"/>
            <w:vMerge w:val="restart"/>
            <w:hideMark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Срок</w:t>
            </w:r>
          </w:p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реализации, годы</w:t>
            </w:r>
          </w:p>
        </w:tc>
        <w:tc>
          <w:tcPr>
            <w:tcW w:w="1842" w:type="dxa"/>
            <w:vMerge w:val="restart"/>
            <w:hideMark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Объем</w:t>
            </w:r>
          </w:p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финансирования,</w:t>
            </w:r>
          </w:p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тыс. руб.*</w:t>
            </w:r>
          </w:p>
        </w:tc>
        <w:tc>
          <w:tcPr>
            <w:tcW w:w="5812" w:type="dxa"/>
            <w:gridSpan w:val="4"/>
            <w:hideMark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Источники финансирования, тыс. руб.</w:t>
            </w:r>
          </w:p>
        </w:tc>
        <w:tc>
          <w:tcPr>
            <w:tcW w:w="3544" w:type="dxa"/>
            <w:vMerge w:val="restart"/>
            <w:hideMark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Ожидаемые</w:t>
            </w:r>
          </w:p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результаты</w:t>
            </w:r>
          </w:p>
        </w:tc>
      </w:tr>
      <w:tr w:rsidR="003305E7" w:rsidRPr="005E5726" w:rsidTr="00AF42B5">
        <w:trPr>
          <w:trHeight w:hRule="exact" w:val="600"/>
        </w:trPr>
        <w:tc>
          <w:tcPr>
            <w:tcW w:w="595" w:type="dxa"/>
            <w:vMerge/>
            <w:hideMark/>
          </w:tcPr>
          <w:p w:rsidR="003305E7" w:rsidRPr="005E5726" w:rsidRDefault="003305E7" w:rsidP="003305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17" w:type="dxa"/>
            <w:vMerge/>
            <w:hideMark/>
          </w:tcPr>
          <w:p w:rsidR="003305E7" w:rsidRPr="005E5726" w:rsidRDefault="003305E7" w:rsidP="003305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vMerge/>
            <w:hideMark/>
          </w:tcPr>
          <w:p w:rsidR="003305E7" w:rsidRPr="005E5726" w:rsidRDefault="003305E7" w:rsidP="003305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hideMark/>
          </w:tcPr>
          <w:p w:rsidR="003305E7" w:rsidRPr="005E5726" w:rsidRDefault="003305E7" w:rsidP="003305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hideMark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80" w:type="dxa"/>
            <w:hideMark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80" w:type="dxa"/>
            <w:hideMark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Местный</w:t>
            </w:r>
          </w:p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бюджет</w:t>
            </w:r>
          </w:p>
        </w:tc>
        <w:tc>
          <w:tcPr>
            <w:tcW w:w="1692" w:type="dxa"/>
            <w:hideMark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3544" w:type="dxa"/>
            <w:vMerge/>
            <w:hideMark/>
          </w:tcPr>
          <w:p w:rsidR="003305E7" w:rsidRPr="005E5726" w:rsidRDefault="003305E7" w:rsidP="003305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305E7" w:rsidRPr="005E5726" w:rsidTr="00AF42B5">
        <w:trPr>
          <w:trHeight w:val="2228"/>
        </w:trPr>
        <w:tc>
          <w:tcPr>
            <w:tcW w:w="595" w:type="dxa"/>
            <w:hideMark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17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Увеличение объемов добычи сырого магнезита шахты «Магнезитовая»</w:t>
            </w:r>
          </w:p>
        </w:tc>
        <w:tc>
          <w:tcPr>
            <w:tcW w:w="1323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2010-2024</w:t>
            </w:r>
          </w:p>
        </w:tc>
        <w:tc>
          <w:tcPr>
            <w:tcW w:w="184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6 031 190,0</w:t>
            </w:r>
          </w:p>
        </w:tc>
        <w:tc>
          <w:tcPr>
            <w:tcW w:w="156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69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6 031 190,0</w:t>
            </w:r>
          </w:p>
        </w:tc>
        <w:tc>
          <w:tcPr>
            <w:tcW w:w="3544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1) Увеличение объемов добычи сырого магнезита до 1,6 млн</w:t>
            </w:r>
            <w:proofErr w:type="gramStart"/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.т</w:t>
            </w:r>
            <w:proofErr w:type="gramEnd"/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в год;                                                   2) Обеспечение сырьем существующих и планируемых мощностей (обжиговых и плавильных);                                                                               3) Локализация производства огнеупорной продукции в РФ;</w:t>
            </w:r>
          </w:p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4) Создание 14 новых рабочих мест, на которые планируется устроить 61 человек.</w:t>
            </w:r>
          </w:p>
        </w:tc>
      </w:tr>
      <w:tr w:rsidR="003305E7" w:rsidRPr="005E5726" w:rsidTr="00AF42B5">
        <w:trPr>
          <w:trHeight w:val="654"/>
        </w:trPr>
        <w:tc>
          <w:tcPr>
            <w:tcW w:w="595" w:type="dxa"/>
            <w:hideMark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17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Строительство цеха по производству плавленого </w:t>
            </w:r>
            <w:proofErr w:type="spellStart"/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периклаза</w:t>
            </w:r>
            <w:proofErr w:type="spellEnd"/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мощностью 50 тыс. тонн в год (ЦМП-5)</w:t>
            </w:r>
          </w:p>
        </w:tc>
        <w:tc>
          <w:tcPr>
            <w:tcW w:w="1323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2012-2021</w:t>
            </w:r>
          </w:p>
        </w:tc>
        <w:tc>
          <w:tcPr>
            <w:tcW w:w="184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5 587 700,0</w:t>
            </w:r>
          </w:p>
        </w:tc>
        <w:tc>
          <w:tcPr>
            <w:tcW w:w="156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69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5 587 700,0</w:t>
            </w:r>
          </w:p>
        </w:tc>
        <w:tc>
          <w:tcPr>
            <w:tcW w:w="3544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ind w:left="-57" w:right="-57"/>
              <w:textAlignment w:val="baseline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1) Производство 50 тыс</w:t>
            </w:r>
            <w:proofErr w:type="gramStart"/>
            <w:r w:rsidRPr="005E572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.т</w:t>
            </w:r>
            <w:proofErr w:type="gramEnd"/>
            <w:r w:rsidRPr="005E572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в год плавленого </w:t>
            </w:r>
            <w:proofErr w:type="spellStart"/>
            <w:r w:rsidRPr="005E572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периклаза</w:t>
            </w:r>
            <w:proofErr w:type="spellEnd"/>
            <w:r w:rsidRPr="005E572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позволит производить до 60 тыс.т в год </w:t>
            </w:r>
            <w:proofErr w:type="spellStart"/>
            <w:r w:rsidRPr="005E572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оксидо-углеродистых</w:t>
            </w:r>
            <w:proofErr w:type="spellEnd"/>
            <w:r w:rsidRPr="005E572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огнеупорных изделий;                                                    </w:t>
            </w:r>
            <w:r w:rsidRPr="005E572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2) Снижение доли импорта </w:t>
            </w:r>
            <w:proofErr w:type="spellStart"/>
            <w:r w:rsidRPr="005E572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периклазоуглеродистых</w:t>
            </w:r>
            <w:proofErr w:type="spellEnd"/>
            <w:r w:rsidRPr="005E572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5E572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оксидо-углеродистых</w:t>
            </w:r>
            <w:proofErr w:type="spellEnd"/>
            <w:r w:rsidRPr="005E572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 изделий из стран КНР. Локализация их производства в РФ;                                         3) Развитие экспортных поставок;</w:t>
            </w:r>
          </w:p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ind w:left="-57" w:right="-57"/>
              <w:textAlignment w:val="baseline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4) </w:t>
            </w: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Создание 36 новых рабочих мест, на которые планируется устроить 147 человек.</w:t>
            </w:r>
          </w:p>
        </w:tc>
      </w:tr>
      <w:tr w:rsidR="003305E7" w:rsidRPr="005E5726" w:rsidTr="00AF42B5">
        <w:trPr>
          <w:trHeight w:val="1486"/>
        </w:trPr>
        <w:tc>
          <w:tcPr>
            <w:tcW w:w="595" w:type="dxa"/>
            <w:hideMark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2517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Перевод технологического процесс</w:t>
            </w:r>
            <w:proofErr w:type="gramStart"/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 ООО</w:t>
            </w:r>
            <w:proofErr w:type="gramEnd"/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«Группа Магнезит» на производство изделий и масс из </w:t>
            </w:r>
            <w:proofErr w:type="spellStart"/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плотноспеченного</w:t>
            </w:r>
            <w:proofErr w:type="spellEnd"/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периклазового</w:t>
            </w:r>
            <w:proofErr w:type="spellEnd"/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клинкера (МПП-2)</w:t>
            </w:r>
          </w:p>
        </w:tc>
        <w:tc>
          <w:tcPr>
            <w:tcW w:w="1323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2018-2021</w:t>
            </w:r>
          </w:p>
        </w:tc>
        <w:tc>
          <w:tcPr>
            <w:tcW w:w="184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2 172 770,0</w:t>
            </w:r>
          </w:p>
        </w:tc>
        <w:tc>
          <w:tcPr>
            <w:tcW w:w="156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69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2 172 770,0</w:t>
            </w:r>
          </w:p>
        </w:tc>
        <w:tc>
          <w:tcPr>
            <w:tcW w:w="3544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1) Снижение удельных расходов: газа на 20%, сырого магнезита на 35%;</w:t>
            </w:r>
          </w:p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2) Производство 130 тыс</w:t>
            </w:r>
            <w:proofErr w:type="gramStart"/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.т</w:t>
            </w:r>
            <w:proofErr w:type="gramEnd"/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плотноспеченного</w:t>
            </w:r>
            <w:proofErr w:type="spellEnd"/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клинкера, из которых 50 тыс.т - аналог марки, производимой только за рубежом;</w:t>
            </w:r>
          </w:p>
          <w:p w:rsidR="003305E7" w:rsidRPr="005E5726" w:rsidRDefault="003305E7" w:rsidP="003305E7">
            <w:pPr>
              <w:suppressAutoHyphens/>
              <w:spacing w:after="0" w:line="240" w:lineRule="auto"/>
              <w:ind w:left="-57" w:right="-57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3) Сокращение объемов импортируемого высокочистого сырья для производства высококачественных огнеупоров;</w:t>
            </w:r>
          </w:p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4) Создание 9 новых рабочих мест, на которые планируется трудоустроить 37 человек.</w:t>
            </w:r>
          </w:p>
        </w:tc>
      </w:tr>
      <w:tr w:rsidR="003305E7" w:rsidRPr="005E5726" w:rsidTr="00AF42B5">
        <w:trPr>
          <w:trHeight w:val="998"/>
        </w:trPr>
        <w:tc>
          <w:tcPr>
            <w:tcW w:w="595" w:type="dxa"/>
            <w:hideMark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17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Реконструкция ТЭЦ АО «СЧПЗ»</w:t>
            </w:r>
          </w:p>
        </w:tc>
        <w:tc>
          <w:tcPr>
            <w:tcW w:w="1323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2016-2020</w:t>
            </w:r>
          </w:p>
        </w:tc>
        <w:tc>
          <w:tcPr>
            <w:tcW w:w="184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591 334,0</w:t>
            </w:r>
          </w:p>
        </w:tc>
        <w:tc>
          <w:tcPr>
            <w:tcW w:w="156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69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591 334,0</w:t>
            </w:r>
          </w:p>
        </w:tc>
        <w:tc>
          <w:tcPr>
            <w:tcW w:w="3544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1)Выработка электрической энергии, необходимой для будущего конверторного производства ферромарганца;</w:t>
            </w:r>
          </w:p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2) Создание 3 новых рабочих мест.</w:t>
            </w:r>
          </w:p>
        </w:tc>
      </w:tr>
      <w:tr w:rsidR="003305E7" w:rsidRPr="005E5726" w:rsidTr="00AF42B5">
        <w:trPr>
          <w:trHeight w:val="1230"/>
        </w:trPr>
        <w:tc>
          <w:tcPr>
            <w:tcW w:w="595" w:type="dxa"/>
            <w:hideMark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2517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Строительство цеха по производству низко- и среднеуглеродистого ферромарганца, конверторным способом</w:t>
            </w:r>
          </w:p>
        </w:tc>
        <w:tc>
          <w:tcPr>
            <w:tcW w:w="1323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2020-2024</w:t>
            </w:r>
          </w:p>
        </w:tc>
        <w:tc>
          <w:tcPr>
            <w:tcW w:w="184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3 000 000,0</w:t>
            </w:r>
          </w:p>
        </w:tc>
        <w:tc>
          <w:tcPr>
            <w:tcW w:w="156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69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3 000 000,0</w:t>
            </w:r>
          </w:p>
        </w:tc>
        <w:tc>
          <w:tcPr>
            <w:tcW w:w="3544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1) Выпуск новой, востребованной на рынке продукции, обладающей высокой добавленной стоимостью, что позволит значительно увеличить прибыль;</w:t>
            </w:r>
          </w:p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2) Создание 20 новых рабочих мест.</w:t>
            </w:r>
          </w:p>
        </w:tc>
      </w:tr>
      <w:tr w:rsidR="003305E7" w:rsidRPr="005E5726" w:rsidTr="00AF42B5">
        <w:trPr>
          <w:trHeight w:val="1242"/>
        </w:trPr>
        <w:tc>
          <w:tcPr>
            <w:tcW w:w="595" w:type="dxa"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517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Организация швейного производства и изготовление пластиковых кейсов для нужд Минобороны РФ</w:t>
            </w:r>
          </w:p>
        </w:tc>
        <w:tc>
          <w:tcPr>
            <w:tcW w:w="1323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2017-2021</w:t>
            </w:r>
          </w:p>
        </w:tc>
        <w:tc>
          <w:tcPr>
            <w:tcW w:w="184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451 000,0</w:t>
            </w:r>
          </w:p>
        </w:tc>
        <w:tc>
          <w:tcPr>
            <w:tcW w:w="156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69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451 000,0</w:t>
            </w:r>
          </w:p>
        </w:tc>
        <w:tc>
          <w:tcPr>
            <w:tcW w:w="3544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Создание 250 новых рабочих мест к концу реализации проекта.</w:t>
            </w:r>
          </w:p>
        </w:tc>
      </w:tr>
      <w:tr w:rsidR="003305E7" w:rsidRPr="005E5726" w:rsidTr="00AF42B5">
        <w:trPr>
          <w:trHeight w:val="1985"/>
        </w:trPr>
        <w:tc>
          <w:tcPr>
            <w:tcW w:w="595" w:type="dxa"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517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 xml:space="preserve">Строительство опытного завода по переработке отходов металлургического производства в гранулированный чугун и </w:t>
            </w:r>
            <w:proofErr w:type="spellStart"/>
            <w:r w:rsidRPr="005E572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дегалогенезированный</w:t>
            </w:r>
            <w:proofErr w:type="spellEnd"/>
            <w:r w:rsidRPr="005E572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 xml:space="preserve"> оксид цинка</w:t>
            </w:r>
          </w:p>
        </w:tc>
        <w:tc>
          <w:tcPr>
            <w:tcW w:w="1323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2017-2019</w:t>
            </w:r>
          </w:p>
        </w:tc>
        <w:tc>
          <w:tcPr>
            <w:tcW w:w="184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275 520,0</w:t>
            </w:r>
          </w:p>
        </w:tc>
        <w:tc>
          <w:tcPr>
            <w:tcW w:w="156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69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275 520,0</w:t>
            </w:r>
          </w:p>
        </w:tc>
        <w:tc>
          <w:tcPr>
            <w:tcW w:w="3544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Создание 60 новых рабочих мест к концу реализации проекта.</w:t>
            </w:r>
          </w:p>
        </w:tc>
      </w:tr>
      <w:tr w:rsidR="003305E7" w:rsidRPr="005E5726" w:rsidTr="00AF42B5">
        <w:trPr>
          <w:trHeight w:val="986"/>
        </w:trPr>
        <w:tc>
          <w:tcPr>
            <w:tcW w:w="595" w:type="dxa"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517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Освоение месторождения кварцитов </w:t>
            </w:r>
            <w:proofErr w:type="spellStart"/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Бакальской</w:t>
            </w:r>
            <w:proofErr w:type="spellEnd"/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группы</w:t>
            </w:r>
          </w:p>
        </w:tc>
        <w:tc>
          <w:tcPr>
            <w:tcW w:w="1323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2018-2022</w:t>
            </w:r>
          </w:p>
        </w:tc>
        <w:tc>
          <w:tcPr>
            <w:tcW w:w="184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153 690,0</w:t>
            </w:r>
          </w:p>
        </w:tc>
        <w:tc>
          <w:tcPr>
            <w:tcW w:w="156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69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153 690,0</w:t>
            </w:r>
          </w:p>
        </w:tc>
        <w:tc>
          <w:tcPr>
            <w:tcW w:w="3544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Создание 28 новых рабочих мест к концу реализации проекта.</w:t>
            </w:r>
          </w:p>
        </w:tc>
      </w:tr>
      <w:tr w:rsidR="003305E7" w:rsidRPr="005E5726" w:rsidTr="00AF42B5">
        <w:trPr>
          <w:trHeight w:val="986"/>
        </w:trPr>
        <w:tc>
          <w:tcPr>
            <w:tcW w:w="595" w:type="dxa"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9</w:t>
            </w:r>
          </w:p>
        </w:tc>
        <w:tc>
          <w:tcPr>
            <w:tcW w:w="2517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Создание металлургического завода по производству гранулированного чугуна</w:t>
            </w:r>
          </w:p>
        </w:tc>
        <w:tc>
          <w:tcPr>
            <w:tcW w:w="1323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2018-2021</w:t>
            </w:r>
          </w:p>
        </w:tc>
        <w:tc>
          <w:tcPr>
            <w:tcW w:w="184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12 448 900,0</w:t>
            </w:r>
          </w:p>
        </w:tc>
        <w:tc>
          <w:tcPr>
            <w:tcW w:w="156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69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12 448 900,0</w:t>
            </w:r>
          </w:p>
        </w:tc>
        <w:tc>
          <w:tcPr>
            <w:tcW w:w="3544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Создание 364 новых рабочих мест к концу реализации проекта.</w:t>
            </w:r>
          </w:p>
        </w:tc>
      </w:tr>
      <w:tr w:rsidR="003305E7" w:rsidRPr="005E5726" w:rsidTr="00AF42B5">
        <w:trPr>
          <w:trHeight w:val="219"/>
        </w:trPr>
        <w:tc>
          <w:tcPr>
            <w:tcW w:w="595" w:type="dxa"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517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Производство уличных игровых автоматов</w:t>
            </w:r>
          </w:p>
        </w:tc>
        <w:tc>
          <w:tcPr>
            <w:tcW w:w="1323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2018**</w:t>
            </w:r>
          </w:p>
        </w:tc>
        <w:tc>
          <w:tcPr>
            <w:tcW w:w="184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4 000,0</w:t>
            </w:r>
          </w:p>
        </w:tc>
        <w:tc>
          <w:tcPr>
            <w:tcW w:w="156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69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4 000,0</w:t>
            </w:r>
          </w:p>
        </w:tc>
        <w:tc>
          <w:tcPr>
            <w:tcW w:w="3544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Создание 23 новых рабочих мест к концу реализации проекта.</w:t>
            </w:r>
          </w:p>
        </w:tc>
      </w:tr>
      <w:tr w:rsidR="003305E7" w:rsidRPr="005E5726" w:rsidTr="00AF42B5">
        <w:trPr>
          <w:trHeight w:val="219"/>
        </w:trPr>
        <w:tc>
          <w:tcPr>
            <w:tcW w:w="595" w:type="dxa"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517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Организация нового и модернизация действующего гостиничного комплекса на территории </w:t>
            </w:r>
            <w:proofErr w:type="spellStart"/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Бакальского</w:t>
            </w:r>
            <w:proofErr w:type="spellEnd"/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городского поселения</w:t>
            </w:r>
          </w:p>
        </w:tc>
        <w:tc>
          <w:tcPr>
            <w:tcW w:w="1323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2020-2021</w:t>
            </w:r>
          </w:p>
        </w:tc>
        <w:tc>
          <w:tcPr>
            <w:tcW w:w="184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7 270,0</w:t>
            </w:r>
          </w:p>
        </w:tc>
        <w:tc>
          <w:tcPr>
            <w:tcW w:w="156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69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7 270,0</w:t>
            </w:r>
          </w:p>
        </w:tc>
        <w:tc>
          <w:tcPr>
            <w:tcW w:w="3544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Создание 21 нового рабочего места к концу реализации проекта.</w:t>
            </w:r>
          </w:p>
        </w:tc>
      </w:tr>
      <w:tr w:rsidR="003305E7" w:rsidRPr="005E5726" w:rsidTr="00AF42B5">
        <w:trPr>
          <w:trHeight w:val="219"/>
        </w:trPr>
        <w:tc>
          <w:tcPr>
            <w:tcW w:w="595" w:type="dxa"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517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Предприятие по производству комплектующих для изготовления аккумуляторов</w:t>
            </w:r>
          </w:p>
        </w:tc>
        <w:tc>
          <w:tcPr>
            <w:tcW w:w="1323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2020-2022</w:t>
            </w:r>
          </w:p>
        </w:tc>
        <w:tc>
          <w:tcPr>
            <w:tcW w:w="184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13 580,0</w:t>
            </w:r>
          </w:p>
        </w:tc>
        <w:tc>
          <w:tcPr>
            <w:tcW w:w="156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69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13 580,0</w:t>
            </w:r>
          </w:p>
        </w:tc>
        <w:tc>
          <w:tcPr>
            <w:tcW w:w="3544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Создание 32 новых рабочих мест к концу реализации проекта.</w:t>
            </w:r>
          </w:p>
        </w:tc>
      </w:tr>
      <w:tr w:rsidR="003305E7" w:rsidRPr="005E5726" w:rsidTr="00AF42B5">
        <w:trPr>
          <w:trHeight w:val="219"/>
        </w:trPr>
        <w:tc>
          <w:tcPr>
            <w:tcW w:w="595" w:type="dxa"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517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gramStart"/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Реализация комплекса мер, направленных на обеспечение надежного теплоснабжения потребителям старой части г. Сатка (реконструкция системы теплоснабжения </w:t>
            </w: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 xml:space="preserve">старой части </w:t>
            </w:r>
            <w:proofErr w:type="gramEnd"/>
          </w:p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г. Сатка)</w:t>
            </w:r>
          </w:p>
        </w:tc>
        <w:tc>
          <w:tcPr>
            <w:tcW w:w="1323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2019-2021</w:t>
            </w:r>
          </w:p>
        </w:tc>
        <w:tc>
          <w:tcPr>
            <w:tcW w:w="184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309 630,0</w:t>
            </w:r>
          </w:p>
        </w:tc>
        <w:tc>
          <w:tcPr>
            <w:tcW w:w="156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279 990,0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9 460,0</w:t>
            </w:r>
          </w:p>
        </w:tc>
        <w:tc>
          <w:tcPr>
            <w:tcW w:w="169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20 180,0</w:t>
            </w:r>
          </w:p>
        </w:tc>
        <w:tc>
          <w:tcPr>
            <w:tcW w:w="3544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CC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Обеспечение комфортных условий проживания</w:t>
            </w:r>
          </w:p>
        </w:tc>
      </w:tr>
      <w:tr w:rsidR="003305E7" w:rsidRPr="005E5726" w:rsidTr="00AF42B5">
        <w:trPr>
          <w:trHeight w:val="219"/>
        </w:trPr>
        <w:tc>
          <w:tcPr>
            <w:tcW w:w="595" w:type="dxa"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2517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«Китов парк»</w:t>
            </w:r>
          </w:p>
        </w:tc>
        <w:tc>
          <w:tcPr>
            <w:tcW w:w="1323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2017-2021</w:t>
            </w:r>
          </w:p>
        </w:tc>
        <w:tc>
          <w:tcPr>
            <w:tcW w:w="184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243 000,0</w:t>
            </w:r>
          </w:p>
        </w:tc>
        <w:tc>
          <w:tcPr>
            <w:tcW w:w="156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69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243 000,0</w:t>
            </w:r>
          </w:p>
        </w:tc>
        <w:tc>
          <w:tcPr>
            <w:tcW w:w="3544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1) </w:t>
            </w: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Формирование туристского потенциала территории, увеличение туристского потока;</w:t>
            </w:r>
          </w:p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2) Создание 57 новых рабочих мест (постоянная занятость) и до 30 рабочих мест (временная занятость)</w:t>
            </w:r>
          </w:p>
        </w:tc>
      </w:tr>
      <w:tr w:rsidR="003305E7" w:rsidRPr="005E5726" w:rsidTr="00AF42B5">
        <w:trPr>
          <w:trHeight w:val="219"/>
        </w:trPr>
        <w:tc>
          <w:tcPr>
            <w:tcW w:w="595" w:type="dxa"/>
          </w:tcPr>
          <w:p w:rsidR="003305E7" w:rsidRPr="005E5726" w:rsidRDefault="003305E7" w:rsidP="003305E7">
            <w:pPr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517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 xml:space="preserve">Разработка Романовского месторождения </w:t>
            </w:r>
            <w:proofErr w:type="spellStart"/>
            <w:r w:rsidRPr="005E572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мраморизованных</w:t>
            </w:r>
            <w:proofErr w:type="spellEnd"/>
            <w:r w:rsidRPr="005E572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 xml:space="preserve"> известняков</w:t>
            </w:r>
          </w:p>
        </w:tc>
        <w:tc>
          <w:tcPr>
            <w:tcW w:w="1323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2020-2023</w:t>
            </w:r>
          </w:p>
        </w:tc>
        <w:tc>
          <w:tcPr>
            <w:tcW w:w="184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50 000,0</w:t>
            </w:r>
          </w:p>
        </w:tc>
        <w:tc>
          <w:tcPr>
            <w:tcW w:w="156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69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50 000,0</w:t>
            </w:r>
          </w:p>
        </w:tc>
        <w:tc>
          <w:tcPr>
            <w:tcW w:w="3544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Повышение производительности труда и добавленной стоимости, создание новых рабочих мест к концу реализации проекта</w:t>
            </w:r>
          </w:p>
        </w:tc>
      </w:tr>
      <w:tr w:rsidR="003305E7" w:rsidRPr="005E5726" w:rsidTr="00AF42B5">
        <w:trPr>
          <w:trHeight w:val="29"/>
        </w:trPr>
        <w:tc>
          <w:tcPr>
            <w:tcW w:w="4435" w:type="dxa"/>
            <w:gridSpan w:val="3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842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31 339 584,0 </w:t>
            </w:r>
          </w:p>
        </w:tc>
        <w:tc>
          <w:tcPr>
            <w:tcW w:w="156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279 990,0</w:t>
            </w:r>
          </w:p>
        </w:tc>
        <w:tc>
          <w:tcPr>
            <w:tcW w:w="1280" w:type="dxa"/>
          </w:tcPr>
          <w:p w:rsidR="003305E7" w:rsidRPr="005E5726" w:rsidRDefault="003305E7" w:rsidP="003305E7">
            <w:pPr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5E572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9 460,0</w:t>
            </w:r>
          </w:p>
        </w:tc>
        <w:tc>
          <w:tcPr>
            <w:tcW w:w="1692" w:type="dxa"/>
          </w:tcPr>
          <w:p w:rsidR="003305E7" w:rsidRPr="005E5726" w:rsidRDefault="006A3814" w:rsidP="003305E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31 050 134</w:t>
            </w:r>
            <w:bookmarkStart w:id="0" w:name="_GoBack"/>
            <w:bookmarkEnd w:id="0"/>
            <w:r w:rsidR="003305E7" w:rsidRPr="005E572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3544" w:type="dxa"/>
          </w:tcPr>
          <w:p w:rsidR="003305E7" w:rsidRPr="005E5726" w:rsidRDefault="003305E7" w:rsidP="003305E7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3305E7" w:rsidRPr="003305E7" w:rsidRDefault="003305E7" w:rsidP="003305E7">
      <w:pPr>
        <w:tabs>
          <w:tab w:val="left" w:pos="8738"/>
        </w:tabs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i/>
          <w:kern w:val="1"/>
          <w:lang w:eastAsia="ar-SA"/>
        </w:rPr>
      </w:pPr>
    </w:p>
    <w:p w:rsidR="003305E7" w:rsidRPr="003305E7" w:rsidRDefault="003305E7" w:rsidP="003305E7">
      <w:pPr>
        <w:tabs>
          <w:tab w:val="left" w:pos="8738"/>
        </w:tabs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3305E7">
        <w:rPr>
          <w:rFonts w:ascii="Times New Roman" w:eastAsia="Times New Roman" w:hAnsi="Times New Roman" w:cs="Times New Roman"/>
          <w:i/>
          <w:kern w:val="1"/>
          <w:lang w:eastAsia="ar-SA"/>
        </w:rPr>
        <w:t>*объем финансирования указан за период 2019-2024 годы.</w:t>
      </w:r>
    </w:p>
    <w:p w:rsidR="00FE13FF" w:rsidRPr="003305E7" w:rsidRDefault="003305E7" w:rsidP="003305E7">
      <w:pPr>
        <w:tabs>
          <w:tab w:val="left" w:pos="8738"/>
        </w:tabs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3305E7">
        <w:rPr>
          <w:rFonts w:ascii="Times New Roman" w:eastAsia="Times New Roman" w:hAnsi="Times New Roman" w:cs="Times New Roman"/>
          <w:i/>
          <w:kern w:val="1"/>
          <w:lang w:eastAsia="ar-SA"/>
        </w:rPr>
        <w:t xml:space="preserve">**срок реализации данного инвестиционного проекта – 2018 год (согласно соглашению об осуществлении деятельности на территории опережающего социально-экономического развития, создаваемой на территории </w:t>
      </w:r>
      <w:proofErr w:type="spellStart"/>
      <w:r w:rsidRPr="003305E7">
        <w:rPr>
          <w:rFonts w:ascii="Times New Roman" w:eastAsia="Times New Roman" w:hAnsi="Times New Roman" w:cs="Times New Roman"/>
          <w:i/>
          <w:kern w:val="1"/>
          <w:lang w:eastAsia="ar-SA"/>
        </w:rPr>
        <w:t>монопрофильного</w:t>
      </w:r>
      <w:proofErr w:type="spellEnd"/>
      <w:r w:rsidRPr="003305E7">
        <w:rPr>
          <w:rFonts w:ascii="Times New Roman" w:eastAsia="Times New Roman" w:hAnsi="Times New Roman" w:cs="Times New Roman"/>
          <w:i/>
          <w:kern w:val="1"/>
          <w:lang w:eastAsia="ar-SA"/>
        </w:rPr>
        <w:t xml:space="preserve"> муниципального образования (моногорода) Челябинской области «Бакал»), в связи с </w:t>
      </w:r>
      <w:proofErr w:type="spellStart"/>
      <w:r w:rsidRPr="003305E7">
        <w:rPr>
          <w:rFonts w:ascii="Times New Roman" w:eastAsia="Times New Roman" w:hAnsi="Times New Roman" w:cs="Times New Roman"/>
          <w:i/>
          <w:kern w:val="1"/>
          <w:lang w:eastAsia="ar-SA"/>
        </w:rPr>
        <w:t>нереализацией</w:t>
      </w:r>
      <w:proofErr w:type="spellEnd"/>
      <w:r w:rsidRPr="003305E7">
        <w:rPr>
          <w:rFonts w:ascii="Times New Roman" w:eastAsia="Times New Roman" w:hAnsi="Times New Roman" w:cs="Times New Roman"/>
          <w:i/>
          <w:kern w:val="1"/>
          <w:lang w:eastAsia="ar-SA"/>
        </w:rPr>
        <w:t xml:space="preserve"> проекта срок уточняется.</w:t>
      </w:r>
    </w:p>
    <w:sectPr w:rsidR="00FE13FF" w:rsidRPr="003305E7" w:rsidSect="00AF42B5">
      <w:footerReference w:type="default" r:id="rId7"/>
      <w:footnotePr>
        <w:pos w:val="beneathText"/>
      </w:footnotePr>
      <w:pgSz w:w="16837" w:h="11905" w:orient="landscape"/>
      <w:pgMar w:top="1702" w:right="677" w:bottom="851" w:left="111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850" w:rsidRDefault="00430850" w:rsidP="003305E7">
      <w:pPr>
        <w:spacing w:after="0" w:line="240" w:lineRule="auto"/>
      </w:pPr>
      <w:r>
        <w:separator/>
      </w:r>
    </w:p>
  </w:endnote>
  <w:endnote w:type="continuationSeparator" w:id="0">
    <w:p w:rsidR="00430850" w:rsidRDefault="00430850" w:rsidP="00330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2819456"/>
      <w:docPartObj>
        <w:docPartGallery w:val="Page Numbers (Bottom of Page)"/>
        <w:docPartUnique/>
      </w:docPartObj>
    </w:sdtPr>
    <w:sdtContent>
      <w:p w:rsidR="003305E7" w:rsidRDefault="00B808A2">
        <w:pPr>
          <w:pStyle w:val="a5"/>
          <w:jc w:val="center"/>
        </w:pPr>
        <w:r>
          <w:fldChar w:fldCharType="begin"/>
        </w:r>
        <w:r w:rsidR="003305E7">
          <w:instrText>PAGE   \* MERGEFORMAT</w:instrText>
        </w:r>
        <w:r>
          <w:fldChar w:fldCharType="separate"/>
        </w:r>
        <w:r w:rsidR="00CD53E3">
          <w:rPr>
            <w:noProof/>
          </w:rPr>
          <w:t>5</w:t>
        </w:r>
        <w:r>
          <w:fldChar w:fldCharType="end"/>
        </w:r>
      </w:p>
    </w:sdtContent>
  </w:sdt>
  <w:p w:rsidR="003305E7" w:rsidRDefault="003305E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850" w:rsidRDefault="00430850" w:rsidP="003305E7">
      <w:pPr>
        <w:spacing w:after="0" w:line="240" w:lineRule="auto"/>
      </w:pPr>
      <w:r>
        <w:separator/>
      </w:r>
    </w:p>
  </w:footnote>
  <w:footnote w:type="continuationSeparator" w:id="0">
    <w:p w:rsidR="00430850" w:rsidRDefault="00430850" w:rsidP="003305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3305E7"/>
    <w:rsid w:val="003305E7"/>
    <w:rsid w:val="00430850"/>
    <w:rsid w:val="005E5726"/>
    <w:rsid w:val="00660769"/>
    <w:rsid w:val="006A3814"/>
    <w:rsid w:val="007D4F12"/>
    <w:rsid w:val="00A8268A"/>
    <w:rsid w:val="00AF42B5"/>
    <w:rsid w:val="00B7759D"/>
    <w:rsid w:val="00B808A2"/>
    <w:rsid w:val="00CD53E3"/>
    <w:rsid w:val="00FE1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0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05E7"/>
  </w:style>
  <w:style w:type="paragraph" w:styleId="a5">
    <w:name w:val="footer"/>
    <w:basedOn w:val="a"/>
    <w:link w:val="a6"/>
    <w:uiPriority w:val="99"/>
    <w:unhideWhenUsed/>
    <w:rsid w:val="00330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05E7"/>
  </w:style>
  <w:style w:type="paragraph" w:styleId="a7">
    <w:name w:val="Balloon Text"/>
    <w:basedOn w:val="a"/>
    <w:link w:val="a8"/>
    <w:uiPriority w:val="99"/>
    <w:semiHidden/>
    <w:unhideWhenUsed/>
    <w:rsid w:val="005E5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57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0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05E7"/>
  </w:style>
  <w:style w:type="paragraph" w:styleId="a5">
    <w:name w:val="footer"/>
    <w:basedOn w:val="a"/>
    <w:link w:val="a6"/>
    <w:uiPriority w:val="99"/>
    <w:unhideWhenUsed/>
    <w:rsid w:val="00330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05E7"/>
  </w:style>
  <w:style w:type="paragraph" w:styleId="a7">
    <w:name w:val="Balloon Text"/>
    <w:basedOn w:val="a"/>
    <w:link w:val="a8"/>
    <w:uiPriority w:val="99"/>
    <w:semiHidden/>
    <w:unhideWhenUsed/>
    <w:rsid w:val="005E5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57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F50F5-E44D-4E55-8440-82F1702E2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В. Бочкарева</dc:creator>
  <cp:lastModifiedBy>marele</cp:lastModifiedBy>
  <cp:revision>2</cp:revision>
  <cp:lastPrinted>2021-03-02T09:01:00Z</cp:lastPrinted>
  <dcterms:created xsi:type="dcterms:W3CDTF">2021-03-10T05:15:00Z</dcterms:created>
  <dcterms:modified xsi:type="dcterms:W3CDTF">2021-03-10T05:15:00Z</dcterms:modified>
</cp:coreProperties>
</file>