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C341CF" w:rsidTr="00AF2CA3">
        <w:trPr>
          <w:trHeight w:val="1412"/>
        </w:trPr>
        <w:tc>
          <w:tcPr>
            <w:tcW w:w="5103" w:type="dxa"/>
          </w:tcPr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</w:pPr>
            <w:bookmarkStart w:id="0" w:name="_Toc373143093"/>
            <w:bookmarkStart w:id="1" w:name="_Toc503873620"/>
            <w:r>
              <w:t>ПРИЛОЖЕНИЕ</w:t>
            </w:r>
            <w:r w:rsidR="00C27FFD">
              <w:t xml:space="preserve"> 2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5D48D6">
              <w:t>к постановлению</w:t>
            </w:r>
            <w:r>
              <w:t xml:space="preserve"> </w:t>
            </w:r>
            <w:r w:rsidRPr="00A92088">
              <w:rPr>
                <w:sz w:val="22"/>
                <w:szCs w:val="22"/>
              </w:rPr>
              <w:t xml:space="preserve">Администрации 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A92088">
              <w:rPr>
                <w:sz w:val="22"/>
                <w:szCs w:val="22"/>
              </w:rPr>
              <w:t>Саткинского муниципального района</w:t>
            </w:r>
          </w:p>
          <w:p w:rsidR="00C341CF" w:rsidRPr="00A92088" w:rsidRDefault="00C341CF" w:rsidP="002B1DB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92088">
              <w:rPr>
                <w:sz w:val="22"/>
                <w:szCs w:val="22"/>
              </w:rPr>
              <w:t>т «</w:t>
            </w:r>
            <w:r w:rsidR="002B1DB0">
              <w:rPr>
                <w:sz w:val="22"/>
                <w:szCs w:val="22"/>
              </w:rPr>
              <w:t>29</w:t>
            </w:r>
            <w:r w:rsidRPr="00A92088">
              <w:rPr>
                <w:sz w:val="22"/>
                <w:szCs w:val="22"/>
              </w:rPr>
              <w:t xml:space="preserve">» </w:t>
            </w:r>
            <w:r w:rsidR="00217A24">
              <w:rPr>
                <w:sz w:val="22"/>
                <w:szCs w:val="22"/>
              </w:rPr>
              <w:t>октя</w:t>
            </w:r>
            <w:r w:rsidRPr="00A92088">
              <w:rPr>
                <w:sz w:val="22"/>
                <w:szCs w:val="22"/>
              </w:rPr>
              <w:t xml:space="preserve">бря 2020 года № </w:t>
            </w:r>
            <w:r w:rsidR="002B1DB0">
              <w:rPr>
                <w:sz w:val="22"/>
                <w:szCs w:val="22"/>
              </w:rPr>
              <w:t>649/1</w:t>
            </w:r>
            <w:bookmarkStart w:id="2" w:name="_GoBack"/>
            <w:bookmarkEnd w:id="2"/>
          </w:p>
        </w:tc>
      </w:tr>
    </w:tbl>
    <w:p w:rsidR="00C341CF" w:rsidRDefault="00C341CF" w:rsidP="00C341CF">
      <w:pPr>
        <w:pStyle w:val="3"/>
      </w:pPr>
    </w:p>
    <w:p w:rsidR="00C70277" w:rsidRPr="00C70277" w:rsidRDefault="00C70277" w:rsidP="00C70277">
      <w:pPr>
        <w:rPr>
          <w:lang w:eastAsia="ru-RU"/>
        </w:rPr>
      </w:pPr>
    </w:p>
    <w:p w:rsidR="008F07A1" w:rsidRPr="008F07A1" w:rsidRDefault="008F07A1" w:rsidP="008F07A1">
      <w:pPr>
        <w:jc w:val="center"/>
        <w:rPr>
          <w:sz w:val="24"/>
          <w:szCs w:val="24"/>
        </w:rPr>
      </w:pPr>
      <w:r w:rsidRPr="008F07A1">
        <w:rPr>
          <w:sz w:val="24"/>
          <w:szCs w:val="24"/>
        </w:rPr>
        <w:t xml:space="preserve">СХЕМА ТЕПЛОСНАБЖЕНИЯ САТКИНСКОГО </w:t>
      </w:r>
    </w:p>
    <w:p w:rsidR="008F07A1" w:rsidRPr="008F07A1" w:rsidRDefault="008F07A1" w:rsidP="008F07A1">
      <w:pPr>
        <w:jc w:val="center"/>
        <w:rPr>
          <w:sz w:val="24"/>
          <w:szCs w:val="24"/>
        </w:rPr>
      </w:pPr>
      <w:r w:rsidRPr="008F07A1">
        <w:rPr>
          <w:sz w:val="24"/>
          <w:szCs w:val="24"/>
        </w:rPr>
        <w:t>ГОРОДСКОГО ПОСЕЛЕНИЯ ДО 2030 ГОДА</w:t>
      </w:r>
    </w:p>
    <w:p w:rsidR="008F07A1" w:rsidRPr="008F07A1" w:rsidRDefault="008F07A1" w:rsidP="008F07A1">
      <w:pPr>
        <w:rPr>
          <w:lang w:eastAsia="ru-RU"/>
        </w:rPr>
      </w:pPr>
    </w:p>
    <w:p w:rsidR="00C27FFD" w:rsidRPr="00C27FFD" w:rsidRDefault="00C27FFD" w:rsidP="00C27FFD">
      <w:pPr>
        <w:keepNext/>
        <w:spacing w:before="240" w:after="60" w:line="240" w:lineRule="auto"/>
        <w:outlineLvl w:val="0"/>
        <w:rPr>
          <w:rFonts w:eastAsia="SimSun"/>
          <w:b/>
          <w:bCs/>
          <w:kern w:val="32"/>
          <w:sz w:val="24"/>
          <w:szCs w:val="24"/>
          <w:lang w:eastAsia="ru-RU"/>
        </w:rPr>
      </w:pPr>
      <w:bookmarkStart w:id="3" w:name="_Toc7092910"/>
      <w:bookmarkEnd w:id="0"/>
      <w:bookmarkEnd w:id="1"/>
      <w:r w:rsidRPr="00C27FFD">
        <w:rPr>
          <w:rFonts w:eastAsia="SimSun"/>
          <w:b/>
          <w:bCs/>
          <w:kern w:val="32"/>
          <w:sz w:val="24"/>
          <w:szCs w:val="24"/>
          <w:lang w:eastAsia="ru-RU"/>
        </w:rPr>
        <w:t>Раздел 7. Предложения по переводу открытых систем теплоснабжения (горячего водоснабжения) в закрытые системы горячего водоснабжения</w:t>
      </w:r>
      <w:bookmarkEnd w:id="3"/>
    </w:p>
    <w:p w:rsidR="00C27FFD" w:rsidRPr="00C27FFD" w:rsidRDefault="00C27FFD" w:rsidP="00C27FFD">
      <w:pPr>
        <w:spacing w:after="0" w:line="240" w:lineRule="auto"/>
        <w:rPr>
          <w:rFonts w:eastAsia="SimSun"/>
          <w:sz w:val="24"/>
          <w:szCs w:val="24"/>
          <w:lang w:eastAsia="ru-RU"/>
        </w:rPr>
      </w:pPr>
    </w:p>
    <w:p w:rsidR="00C27FFD" w:rsidRPr="00C27FFD" w:rsidRDefault="00C27FFD" w:rsidP="00C27FFD">
      <w:pPr>
        <w:spacing w:after="0" w:line="240" w:lineRule="auto"/>
        <w:ind w:firstLine="709"/>
        <w:jc w:val="both"/>
        <w:rPr>
          <w:rFonts w:eastAsia="SimSun"/>
          <w:sz w:val="24"/>
          <w:szCs w:val="24"/>
          <w:lang w:eastAsia="ru-RU"/>
        </w:rPr>
      </w:pPr>
      <w:r w:rsidRPr="00C27FFD">
        <w:rPr>
          <w:rFonts w:eastAsia="SimSun"/>
          <w:sz w:val="24"/>
          <w:szCs w:val="24"/>
          <w:lang w:eastAsia="ru-RU"/>
        </w:rPr>
        <w:t xml:space="preserve">В 2020г. планируется переход на закрытую систему теплоснабжения в старой части </w:t>
      </w:r>
      <w:proofErr w:type="spellStart"/>
      <w:r w:rsidRPr="00C27FFD">
        <w:rPr>
          <w:rFonts w:eastAsia="SimSun"/>
          <w:sz w:val="24"/>
          <w:szCs w:val="24"/>
          <w:lang w:eastAsia="ru-RU"/>
        </w:rPr>
        <w:t>г.Сатка</w:t>
      </w:r>
      <w:proofErr w:type="spellEnd"/>
      <w:r w:rsidRPr="00C27FFD">
        <w:rPr>
          <w:rFonts w:eastAsia="SimSun"/>
          <w:sz w:val="24"/>
          <w:szCs w:val="24"/>
          <w:lang w:eastAsia="ru-RU"/>
        </w:rPr>
        <w:t xml:space="preserve"> с установкой ИТП в подвальных помещениях МКД. Также в 2019-2020гг. планируется отключение частного сектора от системы централизованного теплоснабжения с переводом на индивидуальные источники теплоснабжения (газовые котлы).</w:t>
      </w:r>
    </w:p>
    <w:p w:rsidR="00C27FFD" w:rsidRPr="00C27FFD" w:rsidRDefault="00C27FFD" w:rsidP="00C27FFD">
      <w:pPr>
        <w:tabs>
          <w:tab w:val="left" w:pos="0"/>
          <w:tab w:val="left" w:pos="180"/>
        </w:tabs>
        <w:spacing w:after="0" w:line="240" w:lineRule="auto"/>
        <w:ind w:right="-284" w:firstLine="709"/>
        <w:contextualSpacing/>
        <w:jc w:val="both"/>
        <w:rPr>
          <w:sz w:val="24"/>
          <w:szCs w:val="24"/>
        </w:rPr>
      </w:pPr>
      <w:r w:rsidRPr="00C27FFD">
        <w:rPr>
          <w:sz w:val="24"/>
          <w:szCs w:val="24"/>
          <w:shd w:val="clear" w:color="auto" w:fill="FFFFFF"/>
        </w:rPr>
        <w:t>Закрытая система теплоснабжения с установкой центральных тепловых пунктов:</w:t>
      </w:r>
      <w:r w:rsidRPr="00C27FFD">
        <w:rPr>
          <w:sz w:val="24"/>
          <w:szCs w:val="24"/>
        </w:rPr>
        <w:t xml:space="preserve"> ЦТП является комплектным блочным изделием заводской сборки, которое требует отдельной свободной территории для расположения, с соблюдением охранных зон и прокладки коммуникаций, что </w:t>
      </w:r>
      <w:r w:rsidR="009C247F" w:rsidRPr="00C27FFD">
        <w:rPr>
          <w:sz w:val="24"/>
          <w:szCs w:val="24"/>
        </w:rPr>
        <w:t>невозможно</w:t>
      </w:r>
      <w:r w:rsidRPr="00C27FFD">
        <w:rPr>
          <w:sz w:val="24"/>
          <w:szCs w:val="24"/>
        </w:rPr>
        <w:t xml:space="preserve"> ввиду стесненных условий существующей застройки данной территории. При эксплуатации появляются дополнительные затраты на техническое обслуживание, увеличение расхода тепловой энергии, увеличение объема потерь при транспортировке тепла в распределительных сетях горячего водоснабжения. </w:t>
      </w:r>
    </w:p>
    <w:p w:rsidR="00C27FFD" w:rsidRPr="00C27FFD" w:rsidRDefault="00C27FFD" w:rsidP="00C27FFD">
      <w:pPr>
        <w:tabs>
          <w:tab w:val="left" w:pos="0"/>
          <w:tab w:val="left" w:pos="180"/>
        </w:tabs>
        <w:spacing w:after="0" w:line="240" w:lineRule="auto"/>
        <w:ind w:right="-284" w:firstLine="709"/>
        <w:jc w:val="both"/>
        <w:rPr>
          <w:rFonts w:eastAsia="SimSun"/>
          <w:sz w:val="24"/>
          <w:szCs w:val="24"/>
          <w:lang w:eastAsia="ru-RU"/>
        </w:rPr>
      </w:pPr>
      <w:r w:rsidRPr="00C27FFD">
        <w:rPr>
          <w:rFonts w:eastAsia="SimSun"/>
          <w:sz w:val="24"/>
          <w:szCs w:val="24"/>
          <w:lang w:eastAsia="ru-RU"/>
        </w:rPr>
        <w:t xml:space="preserve">Вывод: трудоемкий и затратный вариант. </w:t>
      </w:r>
    </w:p>
    <w:p w:rsidR="00C27FFD" w:rsidRPr="00C27FFD" w:rsidRDefault="00C27FFD" w:rsidP="00C27FFD">
      <w:pPr>
        <w:tabs>
          <w:tab w:val="left" w:pos="180"/>
          <w:tab w:val="left" w:pos="540"/>
        </w:tabs>
        <w:spacing w:after="0" w:line="240" w:lineRule="auto"/>
        <w:ind w:right="-284" w:firstLine="709"/>
        <w:contextualSpacing/>
        <w:jc w:val="both"/>
        <w:rPr>
          <w:sz w:val="24"/>
          <w:szCs w:val="24"/>
          <w:shd w:val="clear" w:color="auto" w:fill="FFFFFF"/>
        </w:rPr>
      </w:pPr>
      <w:r w:rsidRPr="00C27FFD">
        <w:rPr>
          <w:sz w:val="24"/>
          <w:szCs w:val="24"/>
          <w:shd w:val="clear" w:color="auto" w:fill="FFFFFF"/>
        </w:rPr>
        <w:t>З</w:t>
      </w:r>
      <w:r w:rsidRPr="00C27FFD">
        <w:rPr>
          <w:sz w:val="24"/>
          <w:szCs w:val="24"/>
        </w:rPr>
        <w:t>акрытая система теплоснабжения с установкой ИТП</w:t>
      </w:r>
      <w:r w:rsidRPr="00C27FFD">
        <w:rPr>
          <w:sz w:val="24"/>
          <w:szCs w:val="24"/>
          <w:shd w:val="clear" w:color="auto" w:fill="FFFFFF"/>
        </w:rPr>
        <w:t xml:space="preserve">: при эксплуатации расходы на энергетические ресурсы минимальны (в сравнении с ЦТП).   Установка ИТП не требует территории больших размеров для размещения, что приводит к рациональному использованию пространства, и является более эффективной, чем ЦТП, а именно позволит повысить эффективность авторегулирования отопления вследствие отказа от распределительных сетей горячего водоснабжения, а также минимизировать потери при транспортировке тепла и уменьшить расход электроэнергии на перекачку горячей воды для бытовых нужд. Данная установка повышает качество снабжения потребителей горячей водой </w:t>
      </w:r>
      <w:r w:rsidR="009C247F" w:rsidRPr="00C27FFD">
        <w:rPr>
          <w:sz w:val="24"/>
          <w:szCs w:val="24"/>
          <w:shd w:val="clear" w:color="auto" w:fill="FFFFFF"/>
        </w:rPr>
        <w:t>до СанПиНа</w:t>
      </w:r>
      <w:r w:rsidRPr="00C27FFD">
        <w:rPr>
          <w:sz w:val="24"/>
          <w:szCs w:val="24"/>
          <w:shd w:val="clear" w:color="auto" w:fill="FFFFFF"/>
        </w:rPr>
        <w:t xml:space="preserve">. </w:t>
      </w:r>
    </w:p>
    <w:p w:rsidR="00C27FFD" w:rsidRPr="00C27FFD" w:rsidRDefault="00C27FFD" w:rsidP="00C27FFD">
      <w:pPr>
        <w:tabs>
          <w:tab w:val="left" w:pos="180"/>
          <w:tab w:val="left" w:pos="540"/>
        </w:tabs>
        <w:spacing w:after="0" w:line="240" w:lineRule="auto"/>
        <w:ind w:right="-284" w:firstLine="709"/>
        <w:jc w:val="both"/>
        <w:rPr>
          <w:sz w:val="24"/>
          <w:szCs w:val="24"/>
          <w:shd w:val="clear" w:color="auto" w:fill="FFFFFF"/>
        </w:rPr>
      </w:pPr>
      <w:r w:rsidRPr="00C27FFD">
        <w:rPr>
          <w:sz w:val="24"/>
          <w:szCs w:val="24"/>
          <w:shd w:val="clear" w:color="auto" w:fill="FFFFFF"/>
        </w:rPr>
        <w:t xml:space="preserve">Вывод: данный вариант является более </w:t>
      </w:r>
      <w:r w:rsidRPr="00C27FFD">
        <w:rPr>
          <w:sz w:val="24"/>
          <w:szCs w:val="24"/>
        </w:rPr>
        <w:t>эффективным, технически современным и актуальным.</w:t>
      </w:r>
    </w:p>
    <w:p w:rsidR="00C27FFD" w:rsidRPr="00C27FFD" w:rsidRDefault="00C27FFD" w:rsidP="00C27FFD">
      <w:pPr>
        <w:tabs>
          <w:tab w:val="left" w:pos="180"/>
          <w:tab w:val="left" w:pos="540"/>
        </w:tabs>
        <w:spacing w:after="0" w:line="240" w:lineRule="auto"/>
        <w:ind w:right="-284" w:firstLine="709"/>
        <w:jc w:val="both"/>
        <w:rPr>
          <w:rFonts w:eastAsia="SimSun"/>
          <w:sz w:val="24"/>
          <w:szCs w:val="24"/>
          <w:lang w:eastAsia="ru-RU"/>
        </w:rPr>
      </w:pPr>
      <w:r w:rsidRPr="00C27FFD">
        <w:rPr>
          <w:rFonts w:eastAsia="SimSun"/>
          <w:sz w:val="24"/>
          <w:szCs w:val="24"/>
          <w:lang w:eastAsia="ru-RU"/>
        </w:rPr>
        <w:t xml:space="preserve">На основании вышеизложенного принято решение о переходе на закрытую систему теплоснабжения с установкой индивидуальных тепловых пунктов, что позволит обеспечить не только </w:t>
      </w:r>
      <w:r w:rsidRPr="00C27FFD">
        <w:rPr>
          <w:rFonts w:eastAsia="SimSun"/>
          <w:sz w:val="24"/>
          <w:szCs w:val="24"/>
          <w:shd w:val="clear" w:color="auto" w:fill="FFFFFF"/>
          <w:lang w:eastAsia="ru-RU"/>
        </w:rPr>
        <w:t>надежное и стабильное функционирование теплоснабжающего оборудования, но и обеспечит комфортные условия в зданиях.</w:t>
      </w:r>
    </w:p>
    <w:p w:rsidR="00C27FFD" w:rsidRPr="00C27FFD" w:rsidRDefault="00C27FFD" w:rsidP="00C27FFD">
      <w:pPr>
        <w:spacing w:after="0" w:line="240" w:lineRule="auto"/>
        <w:ind w:firstLine="709"/>
        <w:jc w:val="both"/>
        <w:rPr>
          <w:rFonts w:eastAsia="SimSun"/>
          <w:sz w:val="24"/>
          <w:szCs w:val="24"/>
          <w:lang w:eastAsia="ru-RU"/>
        </w:rPr>
      </w:pPr>
      <w:r w:rsidRPr="00C27FFD">
        <w:rPr>
          <w:rFonts w:eastAsia="SimSun"/>
          <w:sz w:val="24"/>
          <w:szCs w:val="24"/>
          <w:lang w:eastAsia="ru-RU"/>
        </w:rPr>
        <w:t xml:space="preserve">Для Центральной части, Западного района и </w:t>
      </w:r>
      <w:proofErr w:type="spellStart"/>
      <w:r w:rsidRPr="00C27FFD">
        <w:rPr>
          <w:rFonts w:eastAsia="SimSun"/>
          <w:sz w:val="24"/>
          <w:szCs w:val="24"/>
          <w:lang w:eastAsia="ru-RU"/>
        </w:rPr>
        <w:t>п.Первомайский</w:t>
      </w:r>
      <w:proofErr w:type="spellEnd"/>
      <w:r w:rsidRPr="00C27FFD">
        <w:rPr>
          <w:rFonts w:eastAsia="SimSun"/>
          <w:sz w:val="24"/>
          <w:szCs w:val="24"/>
          <w:lang w:eastAsia="ru-RU"/>
        </w:rPr>
        <w:t xml:space="preserve"> также планируется переход на закрытую систему теплоснабжения с установкой ИТП в подвальных помещениях МКД и установкой ЦТП для обеспечения тепловой энергией МКД с отсутствующими подвальными помещениями.</w:t>
      </w:r>
    </w:p>
    <w:p w:rsidR="00C27FFD" w:rsidRPr="00C27FFD" w:rsidRDefault="00C27FFD" w:rsidP="00C27FFD">
      <w:pPr>
        <w:spacing w:after="0" w:line="240" w:lineRule="auto"/>
        <w:ind w:firstLine="709"/>
        <w:jc w:val="both"/>
        <w:rPr>
          <w:rFonts w:eastAsia="SimSun"/>
          <w:sz w:val="24"/>
          <w:szCs w:val="24"/>
          <w:lang w:eastAsia="ru-RU"/>
        </w:rPr>
      </w:pPr>
      <w:r w:rsidRPr="00C27FFD">
        <w:rPr>
          <w:rFonts w:eastAsia="SimSun"/>
          <w:sz w:val="24"/>
          <w:szCs w:val="24"/>
          <w:lang w:eastAsia="ru-RU"/>
        </w:rPr>
        <w:t>Для выполнения данного варианта развития необходимо произвести техническое обследование на предмет возможности установки индивидуальных тепловых пунктов и разработать проектную документацию по переходу на закрытую систему ГВС.</w:t>
      </w:r>
    </w:p>
    <w:p w:rsidR="00C27FFD" w:rsidRPr="00C27FFD" w:rsidRDefault="00C27FFD" w:rsidP="00C27FFD">
      <w:pPr>
        <w:spacing w:after="0" w:line="240" w:lineRule="auto"/>
        <w:ind w:firstLine="708"/>
        <w:jc w:val="both"/>
        <w:rPr>
          <w:rFonts w:eastAsia="SimSun"/>
          <w:sz w:val="24"/>
          <w:szCs w:val="24"/>
          <w:lang w:eastAsia="ru-RU"/>
        </w:rPr>
      </w:pPr>
      <w:r w:rsidRPr="00C27FFD">
        <w:rPr>
          <w:rFonts w:eastAsia="SimSun"/>
          <w:sz w:val="24"/>
          <w:szCs w:val="24"/>
          <w:lang w:eastAsia="ru-RU"/>
        </w:rPr>
        <w:lastRenderedPageBreak/>
        <w:t>Ориентировочная стоимость перехода на закрытую системы ГВС для старой части г. Сатка (в связи с изменением определения стоимости строительно-монтажных работ согласно постановления Министерства тарифного регулирования и энергетики Челябинской области №9/2 от 05.03.2020 г. и корректировкой проекта после прохождения государственной экспертизы)</w:t>
      </w:r>
      <w:r w:rsidRPr="00C27FFD">
        <w:rPr>
          <w:rFonts w:eastAsia="SimSun"/>
          <w:color w:val="FF0000"/>
          <w:sz w:val="24"/>
          <w:szCs w:val="24"/>
          <w:lang w:eastAsia="ru-RU"/>
        </w:rPr>
        <w:t xml:space="preserve"> </w:t>
      </w:r>
      <w:r w:rsidRPr="00C27FFD">
        <w:rPr>
          <w:rFonts w:eastAsia="SimSun"/>
          <w:sz w:val="24"/>
          <w:szCs w:val="24"/>
          <w:lang w:eastAsia="ru-RU"/>
        </w:rPr>
        <w:t>приведена в таблице ниже.</w:t>
      </w:r>
    </w:p>
    <w:p w:rsidR="00C27FFD" w:rsidRPr="00C27FFD" w:rsidRDefault="00C27FFD" w:rsidP="00C27FFD">
      <w:pPr>
        <w:spacing w:after="0" w:line="240" w:lineRule="auto"/>
        <w:rPr>
          <w:rFonts w:eastAsia="SimSun"/>
          <w:sz w:val="24"/>
          <w:szCs w:val="24"/>
          <w:lang w:eastAsia="ru-RU"/>
        </w:rPr>
      </w:pPr>
    </w:p>
    <w:p w:rsidR="00C27FFD" w:rsidRPr="00C27FFD" w:rsidRDefault="00C27FFD" w:rsidP="00C27FFD">
      <w:pPr>
        <w:keepNext/>
        <w:spacing w:after="0" w:line="240" w:lineRule="auto"/>
        <w:rPr>
          <w:rFonts w:eastAsia="SimSun"/>
          <w:b/>
          <w:bCs/>
          <w:sz w:val="20"/>
          <w:szCs w:val="20"/>
          <w:lang w:eastAsia="ru-RU"/>
        </w:rPr>
      </w:pPr>
      <w:r w:rsidRPr="00C27FFD">
        <w:rPr>
          <w:rFonts w:eastAsia="SimSun"/>
          <w:b/>
          <w:bCs/>
          <w:sz w:val="20"/>
          <w:szCs w:val="20"/>
          <w:lang w:eastAsia="ru-RU"/>
        </w:rPr>
        <w:t>Таблица 43 Ориентировочная стоимость перехода на закрытую системы ГВС в старой части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486"/>
        <w:gridCol w:w="929"/>
        <w:gridCol w:w="3363"/>
        <w:gridCol w:w="1526"/>
        <w:gridCol w:w="1526"/>
        <w:gridCol w:w="1741"/>
      </w:tblGrid>
      <w:tr w:rsidR="00C27FFD" w:rsidRPr="00C27FFD" w:rsidTr="001826CB">
        <w:trPr>
          <w:tblHeader/>
        </w:trPr>
        <w:tc>
          <w:tcPr>
            <w:tcW w:w="281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№ п/п</w:t>
            </w:r>
          </w:p>
        </w:tc>
        <w:tc>
          <w:tcPr>
            <w:tcW w:w="416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Вариант</w:t>
            </w:r>
          </w:p>
        </w:tc>
        <w:tc>
          <w:tcPr>
            <w:tcW w:w="2636" w:type="pct"/>
            <w:gridSpan w:val="2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Наименование</w:t>
            </w:r>
          </w:p>
        </w:tc>
        <w:tc>
          <w:tcPr>
            <w:tcW w:w="83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Год</w:t>
            </w:r>
          </w:p>
        </w:tc>
        <w:tc>
          <w:tcPr>
            <w:tcW w:w="83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 xml:space="preserve">Ориентировочная стоимость, </w:t>
            </w:r>
            <w:proofErr w:type="spellStart"/>
            <w:r w:rsidRPr="00C27FFD">
              <w:rPr>
                <w:rFonts w:eastAsia="SimSun"/>
              </w:rPr>
              <w:t>тыс.руб</w:t>
            </w:r>
            <w:proofErr w:type="spellEnd"/>
            <w:r w:rsidRPr="00C27FFD">
              <w:rPr>
                <w:rFonts w:eastAsia="SimSun"/>
              </w:rPr>
              <w:t>.</w:t>
            </w:r>
          </w:p>
        </w:tc>
      </w:tr>
      <w:tr w:rsidR="00C27FFD" w:rsidRPr="00C27FFD" w:rsidTr="001826CB">
        <w:trPr>
          <w:trHeight w:val="702"/>
        </w:trPr>
        <w:tc>
          <w:tcPr>
            <w:tcW w:w="281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1</w:t>
            </w:r>
          </w:p>
        </w:tc>
        <w:tc>
          <w:tcPr>
            <w:tcW w:w="416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1</w:t>
            </w:r>
          </w:p>
        </w:tc>
        <w:tc>
          <w:tcPr>
            <w:tcW w:w="180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 xml:space="preserve">Переход на закрытую систему ГВС с установкой </w:t>
            </w:r>
            <w:r w:rsidR="00525E94">
              <w:rPr>
                <w:rFonts w:eastAsia="SimSun"/>
              </w:rPr>
              <w:t>А</w:t>
            </w:r>
            <w:r w:rsidRPr="00C27FFD">
              <w:rPr>
                <w:rFonts w:eastAsia="SimSun"/>
              </w:rPr>
              <w:t>ИТП</w:t>
            </w:r>
          </w:p>
        </w:tc>
        <w:tc>
          <w:tcPr>
            <w:tcW w:w="83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</w:p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Установка 3</w:t>
            </w:r>
            <w:r w:rsidR="00525E94">
              <w:rPr>
                <w:rFonts w:eastAsia="SimSun"/>
              </w:rPr>
              <w:t>5</w:t>
            </w:r>
            <w:r w:rsidRPr="00C27FFD">
              <w:rPr>
                <w:rFonts w:eastAsia="SimSun"/>
              </w:rPr>
              <w:t xml:space="preserve"> </w:t>
            </w:r>
            <w:r w:rsidR="00525E94">
              <w:rPr>
                <w:rFonts w:eastAsia="SimSun"/>
              </w:rPr>
              <w:t>А</w:t>
            </w:r>
            <w:r w:rsidRPr="00C27FFD">
              <w:rPr>
                <w:rFonts w:eastAsia="SimSun"/>
              </w:rPr>
              <w:t>ИТП</w:t>
            </w:r>
          </w:p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</w:p>
        </w:tc>
        <w:tc>
          <w:tcPr>
            <w:tcW w:w="83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2019-2022</w:t>
            </w:r>
          </w:p>
        </w:tc>
        <w:tc>
          <w:tcPr>
            <w:tcW w:w="833" w:type="pct"/>
            <w:vAlign w:val="center"/>
          </w:tcPr>
          <w:p w:rsidR="00C27FFD" w:rsidRPr="00525E94" w:rsidRDefault="00C27FFD" w:rsidP="00C27FFD">
            <w:pPr>
              <w:jc w:val="center"/>
              <w:rPr>
                <w:rFonts w:eastAsia="SimSun"/>
                <w:color w:val="FF0000"/>
              </w:rPr>
            </w:pPr>
          </w:p>
          <w:p w:rsidR="00525E94" w:rsidRPr="008D0F8B" w:rsidRDefault="008D0F8B" w:rsidP="00C27FFD">
            <w:pPr>
              <w:jc w:val="center"/>
              <w:rPr>
                <w:rFonts w:eastAsia="SimSun"/>
              </w:rPr>
            </w:pPr>
            <w:r w:rsidRPr="008D0F8B">
              <w:rPr>
                <w:rFonts w:eastAsia="SimSun"/>
              </w:rPr>
              <w:t xml:space="preserve">55 </w:t>
            </w:r>
            <w:r>
              <w:rPr>
                <w:rFonts w:eastAsia="SimSun"/>
              </w:rPr>
              <w:t>980</w:t>
            </w:r>
          </w:p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</w:p>
        </w:tc>
      </w:tr>
      <w:tr w:rsidR="00525E94" w:rsidRPr="00C27FFD" w:rsidTr="001826CB">
        <w:trPr>
          <w:trHeight w:val="702"/>
        </w:trPr>
        <w:tc>
          <w:tcPr>
            <w:tcW w:w="281" w:type="pct"/>
            <w:vAlign w:val="center"/>
          </w:tcPr>
          <w:p w:rsidR="00525E94" w:rsidRPr="00C27FFD" w:rsidRDefault="008D0F8B" w:rsidP="00C27FFD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</w:t>
            </w:r>
          </w:p>
        </w:tc>
        <w:tc>
          <w:tcPr>
            <w:tcW w:w="416" w:type="pct"/>
            <w:vAlign w:val="center"/>
          </w:tcPr>
          <w:p w:rsidR="00525E94" w:rsidRPr="00C27FFD" w:rsidRDefault="00525E94" w:rsidP="00C27FFD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</w:t>
            </w:r>
          </w:p>
        </w:tc>
        <w:tc>
          <w:tcPr>
            <w:tcW w:w="1803" w:type="pct"/>
            <w:vAlign w:val="center"/>
          </w:tcPr>
          <w:p w:rsidR="00525E94" w:rsidRPr="00C27FFD" w:rsidRDefault="00525E94" w:rsidP="00C27FFD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 xml:space="preserve">Котельная </w:t>
            </w:r>
          </w:p>
        </w:tc>
        <w:tc>
          <w:tcPr>
            <w:tcW w:w="833" w:type="pct"/>
            <w:vAlign w:val="center"/>
          </w:tcPr>
          <w:p w:rsidR="00525E94" w:rsidRPr="00C27FFD" w:rsidRDefault="00525E94" w:rsidP="00C27FFD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 ед.</w:t>
            </w:r>
          </w:p>
        </w:tc>
        <w:tc>
          <w:tcPr>
            <w:tcW w:w="833" w:type="pct"/>
            <w:vAlign w:val="center"/>
          </w:tcPr>
          <w:p w:rsidR="00525E94" w:rsidRPr="00C27FFD" w:rsidRDefault="00525E94" w:rsidP="00C27FFD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2020 - 2021</w:t>
            </w:r>
          </w:p>
        </w:tc>
        <w:tc>
          <w:tcPr>
            <w:tcW w:w="833" w:type="pct"/>
            <w:vAlign w:val="center"/>
          </w:tcPr>
          <w:p w:rsidR="00525E94" w:rsidRPr="00C27FFD" w:rsidRDefault="00525E94" w:rsidP="00C27FFD">
            <w:pPr>
              <w:jc w:val="center"/>
              <w:rPr>
                <w:rFonts w:eastAsia="SimSun"/>
              </w:rPr>
            </w:pPr>
            <w:r>
              <w:rPr>
                <w:bCs/>
              </w:rPr>
              <w:t>93 856</w:t>
            </w:r>
          </w:p>
        </w:tc>
      </w:tr>
      <w:tr w:rsidR="00C27FFD" w:rsidRPr="00C27FFD" w:rsidTr="001826CB">
        <w:trPr>
          <w:trHeight w:val="702"/>
        </w:trPr>
        <w:tc>
          <w:tcPr>
            <w:tcW w:w="281" w:type="pct"/>
            <w:vAlign w:val="center"/>
          </w:tcPr>
          <w:p w:rsidR="00C27FFD" w:rsidRPr="00C27FFD" w:rsidRDefault="008D0F8B" w:rsidP="00C27FFD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</w:t>
            </w:r>
          </w:p>
        </w:tc>
        <w:tc>
          <w:tcPr>
            <w:tcW w:w="416" w:type="pct"/>
            <w:vAlign w:val="center"/>
          </w:tcPr>
          <w:p w:rsidR="00C27FFD" w:rsidRPr="00C27FFD" w:rsidRDefault="00525E94" w:rsidP="00C27FFD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</w:t>
            </w:r>
          </w:p>
        </w:tc>
        <w:tc>
          <w:tcPr>
            <w:tcW w:w="180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 xml:space="preserve">Реконструкция тепловых сетей Старой части </w:t>
            </w:r>
          </w:p>
        </w:tc>
        <w:tc>
          <w:tcPr>
            <w:tcW w:w="83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3 854,05 м</w:t>
            </w:r>
          </w:p>
        </w:tc>
        <w:tc>
          <w:tcPr>
            <w:tcW w:w="83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2020-2021</w:t>
            </w:r>
          </w:p>
        </w:tc>
        <w:tc>
          <w:tcPr>
            <w:tcW w:w="833" w:type="pct"/>
            <w:vAlign w:val="center"/>
          </w:tcPr>
          <w:p w:rsidR="00C27FFD" w:rsidRPr="00C27FFD" w:rsidRDefault="00C27FFD" w:rsidP="00C27FFD">
            <w:pPr>
              <w:jc w:val="center"/>
              <w:rPr>
                <w:rFonts w:eastAsia="SimSun"/>
              </w:rPr>
            </w:pPr>
            <w:r w:rsidRPr="00C27FFD">
              <w:rPr>
                <w:rFonts w:eastAsia="SimSun"/>
              </w:rPr>
              <w:t>46 005</w:t>
            </w:r>
          </w:p>
        </w:tc>
      </w:tr>
    </w:tbl>
    <w:p w:rsidR="00C341CF" w:rsidRDefault="00C341CF" w:rsidP="00C341CF"/>
    <w:p w:rsidR="00F413F1" w:rsidRDefault="00F413F1"/>
    <w:sectPr w:rsidR="00F413F1" w:rsidSect="00A920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CF"/>
    <w:rsid w:val="001C4EFA"/>
    <w:rsid w:val="00217A24"/>
    <w:rsid w:val="002B1DB0"/>
    <w:rsid w:val="00300F22"/>
    <w:rsid w:val="00525E94"/>
    <w:rsid w:val="00604A5A"/>
    <w:rsid w:val="008D0F8B"/>
    <w:rsid w:val="008F07A1"/>
    <w:rsid w:val="008F2B6C"/>
    <w:rsid w:val="009C247F"/>
    <w:rsid w:val="00AB20BE"/>
    <w:rsid w:val="00B1789F"/>
    <w:rsid w:val="00C27FFD"/>
    <w:rsid w:val="00C341CF"/>
    <w:rsid w:val="00C70277"/>
    <w:rsid w:val="00F4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F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27F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341CF"/>
    <w:pPr>
      <w:keepNext/>
      <w:keepLines/>
      <w:spacing w:before="200" w:after="0"/>
      <w:jc w:val="both"/>
      <w:outlineLvl w:val="2"/>
    </w:pPr>
    <w:rPr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C341C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caption"/>
    <w:aliases w:val=" 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 Знак13,Знак13"/>
    <w:basedOn w:val="a"/>
    <w:next w:val="a"/>
    <w:link w:val="a4"/>
    <w:uiPriority w:val="99"/>
    <w:qFormat/>
    <w:rsid w:val="00C341CF"/>
    <w:pPr>
      <w:spacing w:after="0" w:line="240" w:lineRule="auto"/>
    </w:pPr>
    <w:rPr>
      <w:rFonts w:eastAsia="SimSun"/>
      <w:b/>
      <w:bCs/>
      <w:sz w:val="20"/>
      <w:szCs w:val="20"/>
      <w:lang w:eastAsia="ru-RU"/>
    </w:rPr>
  </w:style>
  <w:style w:type="character" w:customStyle="1" w:styleId="a4">
    <w:name w:val="Название объекта Знак"/>
    <w:aliases w:val=" 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 Знак13 Знак,Знак13 Знак"/>
    <w:link w:val="a3"/>
    <w:uiPriority w:val="99"/>
    <w:locked/>
    <w:rsid w:val="00C341CF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rsid w:val="00C341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27F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5"/>
    <w:rsid w:val="00C27FF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D0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F8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F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27F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341CF"/>
    <w:pPr>
      <w:keepNext/>
      <w:keepLines/>
      <w:spacing w:before="200" w:after="0"/>
      <w:jc w:val="both"/>
      <w:outlineLvl w:val="2"/>
    </w:pPr>
    <w:rPr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C341C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caption"/>
    <w:aliases w:val=" 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 Знак13,Знак13"/>
    <w:basedOn w:val="a"/>
    <w:next w:val="a"/>
    <w:link w:val="a4"/>
    <w:uiPriority w:val="99"/>
    <w:qFormat/>
    <w:rsid w:val="00C341CF"/>
    <w:pPr>
      <w:spacing w:after="0" w:line="240" w:lineRule="auto"/>
    </w:pPr>
    <w:rPr>
      <w:rFonts w:eastAsia="SimSun"/>
      <w:b/>
      <w:bCs/>
      <w:sz w:val="20"/>
      <w:szCs w:val="20"/>
      <w:lang w:eastAsia="ru-RU"/>
    </w:rPr>
  </w:style>
  <w:style w:type="character" w:customStyle="1" w:styleId="a4">
    <w:name w:val="Название объекта Знак"/>
    <w:aliases w:val=" 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 Знак13 Знак,Знак13 Знак"/>
    <w:link w:val="a3"/>
    <w:uiPriority w:val="99"/>
    <w:locked/>
    <w:rsid w:val="00C341CF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rsid w:val="00C341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27F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5"/>
    <w:rsid w:val="00C27FF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D0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F8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marele</dc:creator>
  <cp:keywords/>
  <dc:description/>
  <cp:lastModifiedBy>Пользователь</cp:lastModifiedBy>
  <cp:revision>6</cp:revision>
  <cp:lastPrinted>2020-11-10T06:21:00Z</cp:lastPrinted>
  <dcterms:created xsi:type="dcterms:W3CDTF">2020-11-10T06:18:00Z</dcterms:created>
  <dcterms:modified xsi:type="dcterms:W3CDTF">2020-11-10T11:17:00Z</dcterms:modified>
</cp:coreProperties>
</file>