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</w:p>
    <w:p w:rsidR="00154AB7" w:rsidRDefault="007E4542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  <w:r w:rsidRPr="007E4542">
        <w:rPr>
          <w:rFonts w:ascii="Times New Roman" w:hAnsi="Times New Roman" w:cs="Times New Roman"/>
          <w:sz w:val="24"/>
        </w:rPr>
        <w:t>к постановлению</w:t>
      </w:r>
      <w:r w:rsidR="00154AB7">
        <w:rPr>
          <w:rFonts w:ascii="Times New Roman" w:hAnsi="Times New Roman" w:cs="Times New Roman"/>
          <w:sz w:val="24"/>
        </w:rPr>
        <w:t xml:space="preserve"> Администрации</w:t>
      </w:r>
    </w:p>
    <w:p w:rsidR="00616224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Саткинского муниципального района</w:t>
      </w:r>
    </w:p>
    <w:p w:rsidR="00154AB7" w:rsidRPr="003C7BF1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  <w:r w:rsidRPr="003C7BF1">
        <w:rPr>
          <w:rFonts w:ascii="Times New Roman" w:hAnsi="Times New Roman" w:cs="Times New Roman"/>
          <w:sz w:val="24"/>
        </w:rPr>
        <w:t>от «_</w:t>
      </w:r>
      <w:r w:rsidR="00BC4148">
        <w:rPr>
          <w:rFonts w:ascii="Times New Roman" w:hAnsi="Times New Roman" w:cs="Times New Roman"/>
          <w:sz w:val="24"/>
        </w:rPr>
        <w:t>12</w:t>
      </w:r>
      <w:r w:rsidR="0089086C" w:rsidRPr="003C7BF1">
        <w:rPr>
          <w:rFonts w:ascii="Times New Roman" w:hAnsi="Times New Roman" w:cs="Times New Roman"/>
          <w:sz w:val="24"/>
        </w:rPr>
        <w:t>_</w:t>
      </w:r>
      <w:r w:rsidRPr="003C7BF1">
        <w:rPr>
          <w:rFonts w:ascii="Times New Roman" w:hAnsi="Times New Roman" w:cs="Times New Roman"/>
          <w:sz w:val="24"/>
        </w:rPr>
        <w:t>» __</w:t>
      </w:r>
      <w:r w:rsidR="00D222B0" w:rsidRPr="003C7BF1">
        <w:rPr>
          <w:rFonts w:ascii="Times New Roman" w:hAnsi="Times New Roman" w:cs="Times New Roman"/>
          <w:sz w:val="24"/>
        </w:rPr>
        <w:t>11</w:t>
      </w:r>
      <w:r w:rsidRPr="003C7BF1">
        <w:rPr>
          <w:rFonts w:ascii="Times New Roman" w:hAnsi="Times New Roman" w:cs="Times New Roman"/>
          <w:sz w:val="24"/>
        </w:rPr>
        <w:t>__ 20</w:t>
      </w:r>
      <w:r w:rsidR="004E1DBE" w:rsidRPr="003C7BF1">
        <w:rPr>
          <w:rFonts w:ascii="Times New Roman" w:hAnsi="Times New Roman" w:cs="Times New Roman"/>
          <w:sz w:val="24"/>
        </w:rPr>
        <w:t>2</w:t>
      </w:r>
      <w:r w:rsidR="003C7BF1" w:rsidRPr="003C7BF1">
        <w:rPr>
          <w:rFonts w:ascii="Times New Roman" w:hAnsi="Times New Roman" w:cs="Times New Roman"/>
          <w:sz w:val="24"/>
        </w:rPr>
        <w:t>1</w:t>
      </w:r>
      <w:r w:rsidRPr="003C7BF1">
        <w:rPr>
          <w:rFonts w:ascii="Times New Roman" w:hAnsi="Times New Roman" w:cs="Times New Roman"/>
          <w:sz w:val="24"/>
        </w:rPr>
        <w:t xml:space="preserve"> года № </w:t>
      </w:r>
      <w:r w:rsidR="00BC4148">
        <w:rPr>
          <w:rFonts w:ascii="Times New Roman" w:hAnsi="Times New Roman" w:cs="Times New Roman"/>
          <w:sz w:val="24"/>
        </w:rPr>
        <w:t>_836_</w:t>
      </w: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ind w:firstLine="5103"/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Прогноз</w:t>
      </w: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Социально-экономического развития </w:t>
      </w:r>
    </w:p>
    <w:p w:rsidR="009F423A" w:rsidRDefault="00154AB7" w:rsidP="00154A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Саткинского муниципального района</w:t>
      </w:r>
      <w:r w:rsidR="00DC4367">
        <w:rPr>
          <w:rFonts w:ascii="Times New Roman" w:hAnsi="Times New Roman" w:cs="Times New Roman"/>
          <w:sz w:val="24"/>
        </w:rPr>
        <w:t xml:space="preserve"> </w:t>
      </w: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20</w:t>
      </w:r>
      <w:r w:rsidR="009F423A">
        <w:rPr>
          <w:rFonts w:ascii="Times New Roman" w:hAnsi="Times New Roman" w:cs="Times New Roman"/>
          <w:sz w:val="24"/>
        </w:rPr>
        <w:t>2</w:t>
      </w:r>
      <w:r w:rsidR="00864FD1">
        <w:rPr>
          <w:rFonts w:ascii="Times New Roman" w:hAnsi="Times New Roman" w:cs="Times New Roman"/>
          <w:sz w:val="24"/>
        </w:rPr>
        <w:t>2</w:t>
      </w:r>
      <w:r w:rsidR="009F423A">
        <w:rPr>
          <w:rFonts w:ascii="Times New Roman" w:hAnsi="Times New Roman" w:cs="Times New Roman"/>
          <w:sz w:val="24"/>
        </w:rPr>
        <w:t xml:space="preserve"> </w:t>
      </w:r>
      <w:r w:rsidR="0089086C">
        <w:rPr>
          <w:rFonts w:ascii="Times New Roman" w:hAnsi="Times New Roman" w:cs="Times New Roman"/>
          <w:sz w:val="24"/>
        </w:rPr>
        <w:t>год и плановый период 202</w:t>
      </w:r>
      <w:r w:rsidR="00864FD1">
        <w:rPr>
          <w:rFonts w:ascii="Times New Roman" w:hAnsi="Times New Roman" w:cs="Times New Roman"/>
          <w:sz w:val="24"/>
        </w:rPr>
        <w:t>3</w:t>
      </w:r>
      <w:r w:rsidR="0089086C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202</w:t>
      </w:r>
      <w:r w:rsidR="00864FD1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год</w:t>
      </w:r>
      <w:r w:rsidR="0089086C">
        <w:rPr>
          <w:rFonts w:ascii="Times New Roman" w:hAnsi="Times New Roman" w:cs="Times New Roman"/>
          <w:sz w:val="24"/>
        </w:rPr>
        <w:t>ов</w:t>
      </w: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E36E99" w:rsidRDefault="00E36E99" w:rsidP="00154AB7">
      <w:pPr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</w:p>
    <w:p w:rsidR="00154AB7" w:rsidRDefault="00154AB7" w:rsidP="00154AB7">
      <w:pPr>
        <w:jc w:val="center"/>
        <w:rPr>
          <w:rFonts w:ascii="Times New Roman" w:hAnsi="Times New Roman" w:cs="Times New Roman"/>
          <w:sz w:val="24"/>
        </w:rPr>
      </w:pPr>
    </w:p>
    <w:p w:rsidR="009C5D2A" w:rsidRDefault="009C5D2A" w:rsidP="00154AB7">
      <w:pPr>
        <w:jc w:val="center"/>
        <w:rPr>
          <w:rFonts w:ascii="Times New Roman" w:hAnsi="Times New Roman" w:cs="Times New Roman"/>
          <w:sz w:val="24"/>
        </w:rPr>
      </w:pPr>
    </w:p>
    <w:p w:rsidR="009C5D2A" w:rsidRDefault="009C5D2A" w:rsidP="00154AB7">
      <w:pPr>
        <w:jc w:val="center"/>
        <w:rPr>
          <w:rFonts w:ascii="Times New Roman" w:hAnsi="Times New Roman" w:cs="Times New Roman"/>
          <w:sz w:val="24"/>
        </w:rPr>
      </w:pPr>
    </w:p>
    <w:p w:rsidR="00D17118" w:rsidRDefault="00D17118" w:rsidP="00154A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Содержание</w:t>
      </w:r>
    </w:p>
    <w:p w:rsidR="00D17118" w:rsidRDefault="00D17118" w:rsidP="00154AB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a"/>
        <w:tblW w:w="0" w:type="auto"/>
        <w:tblLook w:val="04A0"/>
      </w:tblPr>
      <w:tblGrid>
        <w:gridCol w:w="704"/>
        <w:gridCol w:w="7088"/>
        <w:gridCol w:w="1552"/>
      </w:tblGrid>
      <w:tr w:rsidR="00D17118" w:rsidTr="00D17118">
        <w:tc>
          <w:tcPr>
            <w:tcW w:w="704" w:type="dxa"/>
          </w:tcPr>
          <w:p w:rsidR="00D17118" w:rsidRDefault="00D17118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7088" w:type="dxa"/>
          </w:tcPr>
          <w:p w:rsidR="00D17118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552" w:type="dxa"/>
          </w:tcPr>
          <w:p w:rsidR="00D17118" w:rsidRDefault="00115EFA" w:rsidP="00115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стр.</w:t>
            </w:r>
          </w:p>
        </w:tc>
      </w:tr>
      <w:tr w:rsidR="009F423A" w:rsidRPr="009F423A" w:rsidTr="00115EFA">
        <w:trPr>
          <w:trHeight w:val="641"/>
        </w:trPr>
        <w:tc>
          <w:tcPr>
            <w:tcW w:w="704" w:type="dxa"/>
          </w:tcPr>
          <w:p w:rsidR="00D17118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E344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88" w:type="dxa"/>
          </w:tcPr>
          <w:p w:rsidR="00D17118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Пояснительная записка к прогнозу социально-экономического развития Саткинского муниципального района на 20</w:t>
            </w:r>
            <w:r w:rsidR="00AE344D" w:rsidRPr="00AE344D">
              <w:rPr>
                <w:rFonts w:ascii="Times New Roman" w:hAnsi="Times New Roman" w:cs="Times New Roman"/>
                <w:sz w:val="24"/>
              </w:rPr>
              <w:t>2</w:t>
            </w:r>
            <w:r w:rsidR="00686AB3">
              <w:rPr>
                <w:rFonts w:ascii="Times New Roman" w:hAnsi="Times New Roman" w:cs="Times New Roman"/>
                <w:sz w:val="24"/>
              </w:rPr>
              <w:t>1</w:t>
            </w:r>
            <w:r w:rsidR="0089086C">
              <w:rPr>
                <w:rFonts w:ascii="Times New Roman" w:hAnsi="Times New Roman" w:cs="Times New Roman"/>
                <w:sz w:val="24"/>
              </w:rPr>
              <w:t xml:space="preserve"> год и плановый период 2022 и </w:t>
            </w:r>
            <w:r w:rsidR="00AE344D" w:rsidRPr="00AE344D">
              <w:rPr>
                <w:rFonts w:ascii="Times New Roman" w:hAnsi="Times New Roman" w:cs="Times New Roman"/>
                <w:sz w:val="24"/>
              </w:rPr>
              <w:t>202</w:t>
            </w:r>
            <w:r w:rsidR="00686AB3">
              <w:rPr>
                <w:rFonts w:ascii="Times New Roman" w:hAnsi="Times New Roman" w:cs="Times New Roman"/>
                <w:sz w:val="24"/>
              </w:rPr>
              <w:t>3</w:t>
            </w:r>
            <w:r w:rsidR="0089086C">
              <w:rPr>
                <w:rFonts w:ascii="Times New Roman" w:hAnsi="Times New Roman" w:cs="Times New Roman"/>
                <w:sz w:val="24"/>
              </w:rPr>
              <w:t xml:space="preserve"> годов</w:t>
            </w:r>
          </w:p>
          <w:p w:rsidR="009C5D2A" w:rsidRPr="00AE344D" w:rsidRDefault="009C5D2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2" w:type="dxa"/>
          </w:tcPr>
          <w:p w:rsidR="00D17118" w:rsidRPr="00D309E1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1552" w:type="dxa"/>
          </w:tcPr>
          <w:p w:rsidR="00115EFA" w:rsidRPr="00D309E1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3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Демографические показатели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8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Промышленное производство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10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Сельское хозяйство</w:t>
            </w:r>
          </w:p>
        </w:tc>
        <w:tc>
          <w:tcPr>
            <w:tcW w:w="1552" w:type="dxa"/>
          </w:tcPr>
          <w:p w:rsidR="00115EF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1</w:t>
            </w:r>
            <w:r w:rsidR="00302230" w:rsidRPr="00D309E1">
              <w:rPr>
                <w:rFonts w:ascii="Times New Roman" w:hAnsi="Times New Roman" w:cs="Times New Roman"/>
                <w:sz w:val="24"/>
              </w:rPr>
              <w:t>2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Рынок товаров и услуг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1</w:t>
            </w:r>
            <w:r w:rsidR="00D309E1" w:rsidRPr="00D309E1">
              <w:rPr>
                <w:rFonts w:ascii="Times New Roman" w:hAnsi="Times New Roman" w:cs="Times New Roman"/>
                <w:sz w:val="24"/>
              </w:rPr>
              <w:t>3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Малое предпринимательство</w:t>
            </w:r>
          </w:p>
        </w:tc>
        <w:tc>
          <w:tcPr>
            <w:tcW w:w="1552" w:type="dxa"/>
          </w:tcPr>
          <w:p w:rsidR="00115EF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1</w:t>
            </w:r>
            <w:r w:rsidR="00D309E1" w:rsidRPr="00D309E1">
              <w:rPr>
                <w:rFonts w:ascii="Times New Roman" w:hAnsi="Times New Roman" w:cs="Times New Roman"/>
                <w:sz w:val="24"/>
              </w:rPr>
              <w:t>4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Инвестиции</w:t>
            </w:r>
          </w:p>
        </w:tc>
        <w:tc>
          <w:tcPr>
            <w:tcW w:w="1552" w:type="dxa"/>
          </w:tcPr>
          <w:p w:rsidR="00115EF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1</w:t>
            </w:r>
            <w:r w:rsidR="00D309E1" w:rsidRPr="00D309E1">
              <w:rPr>
                <w:rFonts w:ascii="Times New Roman" w:hAnsi="Times New Roman" w:cs="Times New Roman"/>
                <w:sz w:val="24"/>
              </w:rPr>
              <w:t>7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Бюджет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2</w:t>
            </w:r>
            <w:r w:rsidR="00D309E1" w:rsidRPr="00D309E1">
              <w:rPr>
                <w:rFonts w:ascii="Times New Roman" w:hAnsi="Times New Roman" w:cs="Times New Roman"/>
                <w:sz w:val="24"/>
              </w:rPr>
              <w:t>1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Денежные доходы и расходы населения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2</w:t>
            </w:r>
            <w:r w:rsidR="00D309E1" w:rsidRPr="00D309E1">
              <w:rPr>
                <w:rFonts w:ascii="Times New Roman" w:hAnsi="Times New Roman" w:cs="Times New Roman"/>
                <w:sz w:val="24"/>
              </w:rPr>
              <w:t>3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Труд и занятость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2</w:t>
            </w:r>
            <w:r w:rsidR="002243AF">
              <w:rPr>
                <w:rFonts w:ascii="Times New Roman" w:hAnsi="Times New Roman" w:cs="Times New Roman"/>
                <w:sz w:val="24"/>
              </w:rPr>
              <w:t>5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Развитие социальной сферы</w:t>
            </w:r>
          </w:p>
        </w:tc>
        <w:tc>
          <w:tcPr>
            <w:tcW w:w="1552" w:type="dxa"/>
          </w:tcPr>
          <w:p w:rsidR="00115EFA" w:rsidRPr="00D309E1" w:rsidRDefault="002243AF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8" w:type="dxa"/>
          </w:tcPr>
          <w:p w:rsidR="00115EFA" w:rsidRPr="00AE344D" w:rsidRDefault="00115EFA" w:rsidP="00115E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Охрана окружающей среды</w:t>
            </w:r>
          </w:p>
        </w:tc>
        <w:tc>
          <w:tcPr>
            <w:tcW w:w="1552" w:type="dxa"/>
          </w:tcPr>
          <w:p w:rsidR="00115EFA" w:rsidRPr="00D309E1" w:rsidRDefault="008C680C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09E1">
              <w:rPr>
                <w:rFonts w:ascii="Times New Roman" w:hAnsi="Times New Roman" w:cs="Times New Roman"/>
                <w:sz w:val="24"/>
              </w:rPr>
              <w:t>4</w:t>
            </w:r>
            <w:r w:rsidR="002243AF">
              <w:rPr>
                <w:rFonts w:ascii="Times New Roman" w:hAnsi="Times New Roman" w:cs="Times New Roman"/>
                <w:sz w:val="24"/>
              </w:rPr>
              <w:t>5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AE344D">
        <w:trPr>
          <w:trHeight w:val="778"/>
        </w:trPr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AE344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88" w:type="dxa"/>
          </w:tcPr>
          <w:p w:rsidR="00115EFA" w:rsidRPr="00AE344D" w:rsidRDefault="00C40E95" w:rsidP="00864FD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Прогноз социально-экономического развития Саткинского муниципального района на 20</w:t>
            </w:r>
            <w:r w:rsidR="00AE344D" w:rsidRPr="00AE344D">
              <w:rPr>
                <w:rFonts w:ascii="Times New Roman" w:hAnsi="Times New Roman" w:cs="Times New Roman"/>
                <w:sz w:val="24"/>
              </w:rPr>
              <w:t>2</w:t>
            </w:r>
            <w:r w:rsidR="00864FD1">
              <w:rPr>
                <w:rFonts w:ascii="Times New Roman" w:hAnsi="Times New Roman" w:cs="Times New Roman"/>
                <w:sz w:val="24"/>
              </w:rPr>
              <w:t>2</w:t>
            </w:r>
            <w:r w:rsidR="00AE344D" w:rsidRPr="00AE344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9086C">
              <w:rPr>
                <w:rFonts w:ascii="Times New Roman" w:hAnsi="Times New Roman" w:cs="Times New Roman"/>
                <w:sz w:val="24"/>
              </w:rPr>
              <w:t>год и плановый период 202</w:t>
            </w:r>
            <w:r w:rsidR="00864FD1">
              <w:rPr>
                <w:rFonts w:ascii="Times New Roman" w:hAnsi="Times New Roman" w:cs="Times New Roman"/>
                <w:sz w:val="24"/>
              </w:rPr>
              <w:t>3</w:t>
            </w:r>
            <w:r w:rsidR="0089086C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AE344D" w:rsidRPr="00AE344D">
              <w:rPr>
                <w:rFonts w:ascii="Times New Roman" w:hAnsi="Times New Roman" w:cs="Times New Roman"/>
                <w:sz w:val="24"/>
              </w:rPr>
              <w:t>202</w:t>
            </w:r>
            <w:r w:rsidR="00864FD1">
              <w:rPr>
                <w:rFonts w:ascii="Times New Roman" w:hAnsi="Times New Roman" w:cs="Times New Roman"/>
                <w:sz w:val="24"/>
              </w:rPr>
              <w:t>4</w:t>
            </w:r>
            <w:r w:rsidR="0089086C">
              <w:rPr>
                <w:rFonts w:ascii="Times New Roman" w:hAnsi="Times New Roman" w:cs="Times New Roman"/>
                <w:sz w:val="24"/>
              </w:rPr>
              <w:t xml:space="preserve"> годов</w:t>
            </w:r>
          </w:p>
        </w:tc>
        <w:tc>
          <w:tcPr>
            <w:tcW w:w="1552" w:type="dxa"/>
          </w:tcPr>
          <w:p w:rsidR="009C5D2A" w:rsidRPr="00D309E1" w:rsidRDefault="002243AF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423A" w:rsidRPr="009F423A" w:rsidTr="00D17118">
        <w:tc>
          <w:tcPr>
            <w:tcW w:w="704" w:type="dxa"/>
          </w:tcPr>
          <w:p w:rsidR="00115EFA" w:rsidRPr="00AE344D" w:rsidRDefault="00115EF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AE344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88" w:type="dxa"/>
          </w:tcPr>
          <w:p w:rsidR="00115EFA" w:rsidRPr="00AE344D" w:rsidRDefault="00115EFA" w:rsidP="00864FD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AE344D">
              <w:rPr>
                <w:rFonts w:ascii="Times New Roman" w:hAnsi="Times New Roman" w:cs="Times New Roman"/>
                <w:sz w:val="24"/>
              </w:rPr>
              <w:t>Основные социально-экономические показатели развития Саткинского муниципального района за январь – июнь 20</w:t>
            </w:r>
            <w:r w:rsidR="00686AB3">
              <w:rPr>
                <w:rFonts w:ascii="Times New Roman" w:hAnsi="Times New Roman" w:cs="Times New Roman"/>
                <w:sz w:val="24"/>
              </w:rPr>
              <w:t>2</w:t>
            </w:r>
            <w:r w:rsidR="00864FD1">
              <w:rPr>
                <w:rFonts w:ascii="Times New Roman" w:hAnsi="Times New Roman" w:cs="Times New Roman"/>
                <w:sz w:val="24"/>
              </w:rPr>
              <w:t>1</w:t>
            </w:r>
            <w:r w:rsidRPr="00AE344D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1552" w:type="dxa"/>
          </w:tcPr>
          <w:p w:rsidR="00115EFA" w:rsidRPr="00D309E1" w:rsidRDefault="002243AF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5D2A" w:rsidRPr="00D309E1" w:rsidRDefault="009C5D2A" w:rsidP="00154AB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17118" w:rsidRDefault="00D17118" w:rsidP="00154AB7">
      <w:pPr>
        <w:jc w:val="center"/>
        <w:rPr>
          <w:rFonts w:ascii="Times New Roman" w:hAnsi="Times New Roman" w:cs="Times New Roman"/>
          <w:sz w:val="24"/>
        </w:rPr>
      </w:pPr>
    </w:p>
    <w:p w:rsidR="00D17118" w:rsidRDefault="00D17118" w:rsidP="00154AB7">
      <w:pPr>
        <w:jc w:val="center"/>
        <w:rPr>
          <w:rFonts w:ascii="Times New Roman" w:hAnsi="Times New Roman" w:cs="Times New Roman"/>
          <w:sz w:val="24"/>
        </w:rPr>
      </w:pPr>
    </w:p>
    <w:p w:rsidR="00AE344D" w:rsidRDefault="00AE344D" w:rsidP="00154AB7">
      <w:pPr>
        <w:jc w:val="center"/>
        <w:rPr>
          <w:rFonts w:ascii="Times New Roman" w:hAnsi="Times New Roman" w:cs="Times New Roman"/>
          <w:sz w:val="24"/>
        </w:rPr>
      </w:pPr>
    </w:p>
    <w:p w:rsidR="00D17118" w:rsidRDefault="00D17118" w:rsidP="00154AB7">
      <w:pPr>
        <w:jc w:val="center"/>
        <w:rPr>
          <w:rFonts w:ascii="Times New Roman" w:hAnsi="Times New Roman" w:cs="Times New Roman"/>
          <w:sz w:val="24"/>
        </w:rPr>
      </w:pPr>
    </w:p>
    <w:p w:rsidR="0089086C" w:rsidRDefault="00154AB7" w:rsidP="00154AB7">
      <w:pPr>
        <w:pStyle w:val="a7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Пояснительная записка к прогнозу социально-экономического развития Саткинского муниципального района на 20</w:t>
      </w:r>
      <w:r w:rsidR="00E80B22">
        <w:rPr>
          <w:rFonts w:ascii="Times New Roman" w:hAnsi="Times New Roman" w:cs="Times New Roman"/>
          <w:sz w:val="24"/>
        </w:rPr>
        <w:t>2</w:t>
      </w:r>
      <w:r w:rsidR="00864FD1">
        <w:rPr>
          <w:rFonts w:ascii="Times New Roman" w:hAnsi="Times New Roman" w:cs="Times New Roman"/>
          <w:sz w:val="24"/>
        </w:rPr>
        <w:t>2</w:t>
      </w:r>
      <w:r w:rsidR="0089086C">
        <w:rPr>
          <w:rFonts w:ascii="Times New Roman" w:hAnsi="Times New Roman" w:cs="Times New Roman"/>
          <w:sz w:val="24"/>
        </w:rPr>
        <w:t xml:space="preserve"> год и </w:t>
      </w:r>
    </w:p>
    <w:p w:rsidR="00154AB7" w:rsidRDefault="0089086C" w:rsidP="0089086C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плановый период 202</w:t>
      </w:r>
      <w:r w:rsidR="00864FD1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и</w:t>
      </w:r>
      <w:r w:rsidR="00686AB3">
        <w:rPr>
          <w:rFonts w:ascii="Times New Roman" w:hAnsi="Times New Roman" w:cs="Times New Roman"/>
          <w:sz w:val="24"/>
        </w:rPr>
        <w:t xml:space="preserve"> 202</w:t>
      </w:r>
      <w:r w:rsidR="00864FD1">
        <w:rPr>
          <w:rFonts w:ascii="Times New Roman" w:hAnsi="Times New Roman" w:cs="Times New Roman"/>
          <w:sz w:val="24"/>
        </w:rPr>
        <w:t>4</w:t>
      </w:r>
      <w:r w:rsidR="00154AB7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ов</w:t>
      </w:r>
    </w:p>
    <w:p w:rsidR="00DC4367" w:rsidRDefault="00DC4367" w:rsidP="00154AB7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E80B22" w:rsidRDefault="00E80B22" w:rsidP="00154AB7">
      <w:pPr>
        <w:pStyle w:val="a7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DC4367" w:rsidRPr="000A404A" w:rsidRDefault="00DC4367" w:rsidP="00C40E95">
      <w:pPr>
        <w:pStyle w:val="a7"/>
        <w:numPr>
          <w:ilvl w:val="0"/>
          <w:numId w:val="12"/>
        </w:num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0A404A">
        <w:rPr>
          <w:rFonts w:ascii="Times New Roman" w:hAnsi="Times New Roman" w:cs="Times New Roman"/>
          <w:b/>
          <w:sz w:val="24"/>
        </w:rPr>
        <w:t>Введение</w:t>
      </w:r>
    </w:p>
    <w:p w:rsidR="00C84690" w:rsidRPr="000A404A" w:rsidRDefault="00C84690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Прогноз социально-экономического развития Саткинского муниципального района на </w:t>
      </w:r>
      <w:r w:rsidR="00F5081C" w:rsidRPr="000A404A">
        <w:rPr>
          <w:color w:val="auto"/>
          <w:szCs w:val="28"/>
        </w:rPr>
        <w:t>202</w:t>
      </w:r>
      <w:r w:rsidR="00864FD1">
        <w:rPr>
          <w:color w:val="auto"/>
          <w:szCs w:val="28"/>
        </w:rPr>
        <w:t>2</w:t>
      </w:r>
      <w:r w:rsidR="0089086C">
        <w:rPr>
          <w:color w:val="auto"/>
          <w:szCs w:val="28"/>
        </w:rPr>
        <w:t xml:space="preserve"> год и плановый период 202</w:t>
      </w:r>
      <w:r w:rsidR="00864FD1">
        <w:rPr>
          <w:color w:val="auto"/>
          <w:szCs w:val="28"/>
        </w:rPr>
        <w:t>3</w:t>
      </w:r>
      <w:r w:rsidR="0089086C">
        <w:rPr>
          <w:color w:val="auto"/>
          <w:szCs w:val="28"/>
        </w:rPr>
        <w:t xml:space="preserve"> и </w:t>
      </w:r>
      <w:r w:rsidR="00F5081C" w:rsidRPr="000A404A">
        <w:rPr>
          <w:color w:val="auto"/>
          <w:szCs w:val="28"/>
        </w:rPr>
        <w:t>202</w:t>
      </w:r>
      <w:r w:rsidR="00864FD1">
        <w:rPr>
          <w:color w:val="auto"/>
          <w:szCs w:val="28"/>
        </w:rPr>
        <w:t>4</w:t>
      </w:r>
      <w:r w:rsidR="00F5081C" w:rsidRPr="000A404A">
        <w:rPr>
          <w:color w:val="auto"/>
          <w:szCs w:val="28"/>
        </w:rPr>
        <w:t xml:space="preserve"> год</w:t>
      </w:r>
      <w:r w:rsidR="0089086C">
        <w:rPr>
          <w:color w:val="auto"/>
          <w:szCs w:val="28"/>
        </w:rPr>
        <w:t>ов</w:t>
      </w:r>
      <w:r w:rsidRPr="000A404A">
        <w:rPr>
          <w:color w:val="auto"/>
          <w:szCs w:val="28"/>
        </w:rPr>
        <w:t xml:space="preserve"> (далее именуется – Прогноз) </w:t>
      </w:r>
      <w:r w:rsidR="00C14C8D" w:rsidRPr="000A404A">
        <w:rPr>
          <w:color w:val="auto"/>
          <w:szCs w:val="28"/>
        </w:rPr>
        <w:t>подготовлен в соответствии с общим порядком разработки прогноза социально-экономического развития, который определен</w:t>
      </w:r>
      <w:r w:rsidRPr="000A404A">
        <w:rPr>
          <w:color w:val="auto"/>
          <w:szCs w:val="28"/>
        </w:rPr>
        <w:t xml:space="preserve">: </w:t>
      </w:r>
    </w:p>
    <w:p w:rsidR="00C84690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C84690" w:rsidRPr="000A404A">
        <w:rPr>
          <w:color w:val="auto"/>
          <w:szCs w:val="28"/>
        </w:rPr>
        <w:t>Бюджетны</w:t>
      </w:r>
      <w:r w:rsidR="00C14C8D" w:rsidRPr="000A404A">
        <w:rPr>
          <w:color w:val="auto"/>
          <w:szCs w:val="28"/>
        </w:rPr>
        <w:t>м</w:t>
      </w:r>
      <w:r w:rsidR="00C84690" w:rsidRPr="000A404A">
        <w:rPr>
          <w:color w:val="auto"/>
          <w:szCs w:val="28"/>
        </w:rPr>
        <w:t xml:space="preserve"> кодекс</w:t>
      </w:r>
      <w:r w:rsidR="00C14C8D" w:rsidRPr="000A404A">
        <w:rPr>
          <w:color w:val="auto"/>
          <w:szCs w:val="28"/>
        </w:rPr>
        <w:t>ом</w:t>
      </w:r>
      <w:r w:rsidR="00C84690" w:rsidRPr="000A404A">
        <w:rPr>
          <w:color w:val="auto"/>
          <w:szCs w:val="28"/>
        </w:rPr>
        <w:t xml:space="preserve"> Российской Федерации; </w:t>
      </w:r>
    </w:p>
    <w:p w:rsidR="00C84690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C84690" w:rsidRPr="000A404A">
        <w:rPr>
          <w:color w:val="auto"/>
          <w:szCs w:val="28"/>
        </w:rPr>
        <w:t>Федеральны</w:t>
      </w:r>
      <w:r w:rsidR="00C14C8D" w:rsidRPr="000A404A">
        <w:rPr>
          <w:color w:val="auto"/>
          <w:szCs w:val="28"/>
        </w:rPr>
        <w:t>м</w:t>
      </w:r>
      <w:r w:rsidR="00C84690" w:rsidRPr="000A404A">
        <w:rPr>
          <w:color w:val="auto"/>
          <w:szCs w:val="28"/>
        </w:rPr>
        <w:t xml:space="preserve"> закон</w:t>
      </w:r>
      <w:r w:rsidR="00C14C8D" w:rsidRPr="000A404A">
        <w:rPr>
          <w:color w:val="auto"/>
          <w:szCs w:val="28"/>
        </w:rPr>
        <w:t>ом</w:t>
      </w:r>
      <w:r w:rsidR="00C84690" w:rsidRPr="000A404A">
        <w:rPr>
          <w:color w:val="auto"/>
          <w:szCs w:val="28"/>
        </w:rPr>
        <w:t xml:space="preserve"> от 28 июня 2014 года № 172-ФЗ «О стратегическом планировании в Российской Федерации»; </w:t>
      </w:r>
    </w:p>
    <w:p w:rsidR="00C84690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C84690" w:rsidRPr="000A404A">
        <w:rPr>
          <w:color w:val="auto"/>
          <w:szCs w:val="28"/>
        </w:rPr>
        <w:t>Указ</w:t>
      </w:r>
      <w:r w:rsidR="00C14C8D" w:rsidRPr="000A404A">
        <w:rPr>
          <w:color w:val="auto"/>
          <w:szCs w:val="28"/>
        </w:rPr>
        <w:t>ом</w:t>
      </w:r>
      <w:r w:rsidR="00C84690" w:rsidRPr="000A404A">
        <w:rPr>
          <w:color w:val="auto"/>
          <w:szCs w:val="28"/>
        </w:rPr>
        <w:t xml:space="preserve"> Президента Российской Федерации от 7 мая 2018 г. № 204 «О национальных целях и стратегических задачах развития Российской Федерации</w:t>
      </w:r>
      <w:r w:rsidR="00D309E1">
        <w:rPr>
          <w:color w:val="auto"/>
          <w:szCs w:val="28"/>
        </w:rPr>
        <w:t xml:space="preserve"> на период до 2024 года</w:t>
      </w:r>
      <w:r w:rsidR="00C84690" w:rsidRPr="000A404A">
        <w:rPr>
          <w:color w:val="auto"/>
          <w:szCs w:val="28"/>
        </w:rPr>
        <w:t xml:space="preserve">»; </w:t>
      </w:r>
    </w:p>
    <w:p w:rsidR="00C84690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C84690" w:rsidRPr="000A404A">
        <w:rPr>
          <w:color w:val="auto"/>
          <w:szCs w:val="28"/>
        </w:rPr>
        <w:t>Закон</w:t>
      </w:r>
      <w:r w:rsidR="00C14C8D" w:rsidRPr="000A404A">
        <w:rPr>
          <w:color w:val="auto"/>
          <w:szCs w:val="28"/>
        </w:rPr>
        <w:t>ом</w:t>
      </w:r>
      <w:r w:rsidR="00C84690" w:rsidRPr="000A404A">
        <w:rPr>
          <w:color w:val="auto"/>
          <w:szCs w:val="28"/>
        </w:rPr>
        <w:t xml:space="preserve"> Челябинской области от 27.11.2014 г</w:t>
      </w:r>
      <w:r w:rsidR="00F5081C" w:rsidRPr="000A404A">
        <w:rPr>
          <w:color w:val="auto"/>
          <w:szCs w:val="28"/>
        </w:rPr>
        <w:t>ода</w:t>
      </w:r>
      <w:r w:rsidR="00C84690" w:rsidRPr="000A404A">
        <w:rPr>
          <w:color w:val="auto"/>
          <w:szCs w:val="28"/>
        </w:rPr>
        <w:t xml:space="preserve"> № 63-ЗО «О стратегическом планировании в Челябинской области»; </w:t>
      </w:r>
    </w:p>
    <w:p w:rsidR="00C84690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</w:rPr>
      </w:pPr>
      <w:r w:rsidRPr="000A404A">
        <w:rPr>
          <w:color w:val="auto"/>
        </w:rPr>
        <w:t xml:space="preserve">- </w:t>
      </w:r>
      <w:r w:rsidR="00C84690" w:rsidRPr="000A404A">
        <w:rPr>
          <w:color w:val="auto"/>
        </w:rPr>
        <w:t>распоряжение</w:t>
      </w:r>
      <w:r w:rsidR="00C14C8D" w:rsidRPr="000A404A">
        <w:rPr>
          <w:color w:val="auto"/>
        </w:rPr>
        <w:t>м</w:t>
      </w:r>
      <w:r w:rsidR="00C84690" w:rsidRPr="000A404A">
        <w:rPr>
          <w:color w:val="auto"/>
        </w:rPr>
        <w:t xml:space="preserve"> Правительства Челябинской области от </w:t>
      </w:r>
      <w:r w:rsidR="00864FD1">
        <w:rPr>
          <w:color w:val="auto"/>
        </w:rPr>
        <w:t>09</w:t>
      </w:r>
      <w:r w:rsidR="00C84690" w:rsidRPr="000A404A">
        <w:rPr>
          <w:color w:val="auto"/>
        </w:rPr>
        <w:t>.06.20</w:t>
      </w:r>
      <w:r w:rsidR="000A404A" w:rsidRPr="000A404A">
        <w:rPr>
          <w:color w:val="auto"/>
        </w:rPr>
        <w:t>2</w:t>
      </w:r>
      <w:r w:rsidR="00864FD1">
        <w:rPr>
          <w:color w:val="auto"/>
        </w:rPr>
        <w:t>1</w:t>
      </w:r>
      <w:r w:rsidR="00C84690" w:rsidRPr="000A404A">
        <w:rPr>
          <w:color w:val="auto"/>
        </w:rPr>
        <w:t xml:space="preserve"> г</w:t>
      </w:r>
      <w:r w:rsidR="00F5081C" w:rsidRPr="000A404A">
        <w:rPr>
          <w:color w:val="auto"/>
        </w:rPr>
        <w:t>ода</w:t>
      </w:r>
      <w:r w:rsidR="00C84690" w:rsidRPr="000A404A">
        <w:rPr>
          <w:color w:val="auto"/>
        </w:rPr>
        <w:t xml:space="preserve"> № </w:t>
      </w:r>
      <w:r w:rsidR="00864FD1">
        <w:rPr>
          <w:color w:val="auto"/>
        </w:rPr>
        <w:t>356</w:t>
      </w:r>
      <w:r w:rsidR="00C84690" w:rsidRPr="000A404A">
        <w:rPr>
          <w:color w:val="auto"/>
        </w:rPr>
        <w:t xml:space="preserve">-рп «О разработке прогноза социально-экономического развития Челябинской области </w:t>
      </w:r>
      <w:r w:rsidR="00F5081C" w:rsidRPr="000A404A">
        <w:rPr>
          <w:color w:val="auto"/>
        </w:rPr>
        <w:t>на 202</w:t>
      </w:r>
      <w:r w:rsidR="00864FD1">
        <w:rPr>
          <w:color w:val="auto"/>
        </w:rPr>
        <w:t>2</w:t>
      </w:r>
      <w:r w:rsidR="00F5081C" w:rsidRPr="000A404A">
        <w:rPr>
          <w:color w:val="auto"/>
        </w:rPr>
        <w:t xml:space="preserve"> </w:t>
      </w:r>
      <w:r w:rsidR="000A404A" w:rsidRPr="000A404A">
        <w:rPr>
          <w:color w:val="auto"/>
        </w:rPr>
        <w:t>год и плановый период 202</w:t>
      </w:r>
      <w:r w:rsidR="00864FD1">
        <w:rPr>
          <w:color w:val="auto"/>
        </w:rPr>
        <w:t>3</w:t>
      </w:r>
      <w:r w:rsidR="000A404A" w:rsidRPr="000A404A">
        <w:rPr>
          <w:color w:val="auto"/>
        </w:rPr>
        <w:t xml:space="preserve"> и 202</w:t>
      </w:r>
      <w:r w:rsidR="00864FD1">
        <w:rPr>
          <w:color w:val="auto"/>
        </w:rPr>
        <w:t>4</w:t>
      </w:r>
      <w:r w:rsidR="000A404A" w:rsidRPr="000A404A">
        <w:rPr>
          <w:color w:val="auto"/>
        </w:rPr>
        <w:t xml:space="preserve"> годов</w:t>
      </w:r>
      <w:r w:rsidR="00C84690" w:rsidRPr="000A404A">
        <w:rPr>
          <w:color w:val="auto"/>
        </w:rPr>
        <w:t xml:space="preserve">»; </w:t>
      </w:r>
    </w:p>
    <w:p w:rsidR="00585226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585226" w:rsidRPr="000A404A">
        <w:rPr>
          <w:color w:val="auto"/>
          <w:szCs w:val="28"/>
        </w:rPr>
        <w:t>постановление</w:t>
      </w:r>
      <w:r w:rsidR="00C14C8D" w:rsidRPr="000A404A">
        <w:rPr>
          <w:color w:val="auto"/>
          <w:szCs w:val="28"/>
        </w:rPr>
        <w:t>м</w:t>
      </w:r>
      <w:r w:rsidR="00585226" w:rsidRPr="000A404A">
        <w:rPr>
          <w:color w:val="auto"/>
          <w:szCs w:val="28"/>
        </w:rPr>
        <w:t xml:space="preserve"> Администрации Саткинского муни</w:t>
      </w:r>
      <w:r w:rsidR="00C14C8D" w:rsidRPr="000A404A">
        <w:rPr>
          <w:color w:val="auto"/>
          <w:szCs w:val="28"/>
        </w:rPr>
        <w:t>ципального района от 29.06.2018</w:t>
      </w:r>
      <w:r w:rsidR="00F5081C" w:rsidRPr="000A404A">
        <w:rPr>
          <w:color w:val="auto"/>
          <w:szCs w:val="28"/>
        </w:rPr>
        <w:t xml:space="preserve"> </w:t>
      </w:r>
      <w:r w:rsidR="00C14C8D" w:rsidRPr="000A404A">
        <w:rPr>
          <w:color w:val="auto"/>
          <w:szCs w:val="28"/>
        </w:rPr>
        <w:t>г</w:t>
      </w:r>
      <w:r w:rsidR="00F5081C" w:rsidRPr="000A404A">
        <w:rPr>
          <w:color w:val="auto"/>
          <w:szCs w:val="28"/>
        </w:rPr>
        <w:t>ода</w:t>
      </w:r>
      <w:r w:rsidR="00585226" w:rsidRPr="000A404A">
        <w:rPr>
          <w:color w:val="auto"/>
          <w:szCs w:val="28"/>
        </w:rPr>
        <w:t xml:space="preserve"> № 486 «О Порядке разработки и корректировки прогноза социально-экономического развития Саткинского муниципального района на среднесрочный период»; </w:t>
      </w:r>
    </w:p>
    <w:p w:rsidR="00585226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 xml:space="preserve">- </w:t>
      </w:r>
      <w:r w:rsidR="00585226" w:rsidRPr="000A404A">
        <w:rPr>
          <w:color w:val="auto"/>
          <w:szCs w:val="28"/>
        </w:rPr>
        <w:t>постановление</w:t>
      </w:r>
      <w:r w:rsidR="00C14C8D" w:rsidRPr="000A404A">
        <w:rPr>
          <w:color w:val="auto"/>
          <w:szCs w:val="28"/>
        </w:rPr>
        <w:t>м</w:t>
      </w:r>
      <w:r w:rsidR="00585226" w:rsidRPr="000A404A">
        <w:rPr>
          <w:color w:val="auto"/>
          <w:szCs w:val="28"/>
        </w:rPr>
        <w:t xml:space="preserve"> Администрации Саткинского муниципального района от </w:t>
      </w:r>
      <w:r w:rsidR="00864FD1">
        <w:rPr>
          <w:color w:val="auto"/>
          <w:szCs w:val="28"/>
        </w:rPr>
        <w:t>22.06</w:t>
      </w:r>
      <w:r w:rsidR="00F5081C" w:rsidRPr="000A404A">
        <w:rPr>
          <w:color w:val="auto"/>
          <w:szCs w:val="28"/>
        </w:rPr>
        <w:t>.20</w:t>
      </w:r>
      <w:r w:rsidR="00864FD1">
        <w:rPr>
          <w:color w:val="auto"/>
          <w:szCs w:val="28"/>
        </w:rPr>
        <w:t>21</w:t>
      </w:r>
      <w:r w:rsidR="00F5081C" w:rsidRPr="000A404A">
        <w:rPr>
          <w:color w:val="auto"/>
          <w:szCs w:val="28"/>
        </w:rPr>
        <w:t xml:space="preserve"> </w:t>
      </w:r>
      <w:r w:rsidR="00585226" w:rsidRPr="000A404A">
        <w:rPr>
          <w:color w:val="auto"/>
          <w:szCs w:val="28"/>
        </w:rPr>
        <w:t>г</w:t>
      </w:r>
      <w:r w:rsidR="00F5081C" w:rsidRPr="000A404A">
        <w:rPr>
          <w:color w:val="auto"/>
          <w:szCs w:val="28"/>
        </w:rPr>
        <w:t>ода</w:t>
      </w:r>
      <w:r w:rsidR="00585226" w:rsidRPr="000A404A">
        <w:rPr>
          <w:color w:val="auto"/>
          <w:szCs w:val="28"/>
        </w:rPr>
        <w:t xml:space="preserve"> № </w:t>
      </w:r>
      <w:r w:rsidR="00864FD1">
        <w:rPr>
          <w:color w:val="auto"/>
          <w:szCs w:val="28"/>
        </w:rPr>
        <w:t>526</w:t>
      </w:r>
      <w:r w:rsidR="00585226" w:rsidRPr="000A404A">
        <w:rPr>
          <w:color w:val="auto"/>
          <w:szCs w:val="28"/>
        </w:rPr>
        <w:t xml:space="preserve"> «О разработке прогноза социально-экономического развития Саткинского муниципального района на 20</w:t>
      </w:r>
      <w:r w:rsidR="00F5081C" w:rsidRPr="000A404A">
        <w:rPr>
          <w:color w:val="auto"/>
          <w:szCs w:val="28"/>
        </w:rPr>
        <w:t>2</w:t>
      </w:r>
      <w:r w:rsidR="00864FD1">
        <w:rPr>
          <w:color w:val="auto"/>
          <w:szCs w:val="28"/>
        </w:rPr>
        <w:t>2 год и плановый период 2023 и 2024 годов</w:t>
      </w:r>
      <w:r w:rsidR="00C14C8D" w:rsidRPr="000A404A">
        <w:rPr>
          <w:color w:val="auto"/>
          <w:szCs w:val="28"/>
        </w:rPr>
        <w:t>».</w:t>
      </w:r>
    </w:p>
    <w:p w:rsidR="00C14C8D" w:rsidRPr="000A404A" w:rsidRDefault="00C14C8D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>Основой разработки являлись:</w:t>
      </w:r>
    </w:p>
    <w:p w:rsidR="00C14C8D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>- о</w:t>
      </w:r>
      <w:r w:rsidR="00C14C8D" w:rsidRPr="000A404A">
        <w:rPr>
          <w:color w:val="auto"/>
          <w:szCs w:val="28"/>
        </w:rPr>
        <w:t xml:space="preserve">сновные показатели прогноза социально-экономического развития </w:t>
      </w:r>
      <w:r w:rsidRPr="000A404A">
        <w:rPr>
          <w:color w:val="auto"/>
          <w:szCs w:val="28"/>
        </w:rPr>
        <w:t xml:space="preserve">Российской Федерации на </w:t>
      </w:r>
      <w:r w:rsidR="00F5081C" w:rsidRPr="000A404A">
        <w:rPr>
          <w:color w:val="auto"/>
          <w:szCs w:val="28"/>
        </w:rPr>
        <w:t>202</w:t>
      </w:r>
      <w:r w:rsidR="00864FD1">
        <w:rPr>
          <w:color w:val="auto"/>
          <w:szCs w:val="28"/>
        </w:rPr>
        <w:t>2</w:t>
      </w:r>
      <w:r w:rsidR="00F5081C" w:rsidRPr="000A404A">
        <w:rPr>
          <w:color w:val="auto"/>
          <w:szCs w:val="28"/>
        </w:rPr>
        <w:t xml:space="preserve"> год и плановый период до 202</w:t>
      </w:r>
      <w:r w:rsidR="00864FD1">
        <w:rPr>
          <w:color w:val="auto"/>
          <w:szCs w:val="28"/>
        </w:rPr>
        <w:t>4</w:t>
      </w:r>
      <w:r w:rsidR="00F5081C" w:rsidRPr="000A404A">
        <w:rPr>
          <w:color w:val="auto"/>
          <w:szCs w:val="28"/>
        </w:rPr>
        <w:t xml:space="preserve"> года</w:t>
      </w:r>
      <w:r w:rsidRPr="000A404A">
        <w:rPr>
          <w:color w:val="auto"/>
          <w:szCs w:val="28"/>
        </w:rPr>
        <w:t>;</w:t>
      </w:r>
    </w:p>
    <w:p w:rsidR="00E462D9" w:rsidRPr="000A404A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t>- прогноз индексов дефляторов и индексов цен производителей по видам экономической деятельности до 202</w:t>
      </w:r>
      <w:r w:rsidR="00864FD1">
        <w:rPr>
          <w:color w:val="auto"/>
          <w:szCs w:val="28"/>
        </w:rPr>
        <w:t>4</w:t>
      </w:r>
      <w:r w:rsidRPr="000A404A">
        <w:rPr>
          <w:color w:val="auto"/>
          <w:szCs w:val="28"/>
        </w:rPr>
        <w:t xml:space="preserve"> года Российской Федерации;</w:t>
      </w:r>
    </w:p>
    <w:p w:rsidR="00C84690" w:rsidRDefault="00E462D9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 w:rsidRPr="000A404A">
        <w:rPr>
          <w:color w:val="auto"/>
          <w:szCs w:val="28"/>
        </w:rPr>
        <w:lastRenderedPageBreak/>
        <w:t xml:space="preserve">- </w:t>
      </w:r>
      <w:r w:rsidR="002243AF">
        <w:rPr>
          <w:color w:val="auto"/>
          <w:szCs w:val="28"/>
        </w:rPr>
        <w:t>информация</w:t>
      </w:r>
      <w:r w:rsidR="00C84690" w:rsidRPr="000A404A">
        <w:rPr>
          <w:color w:val="auto"/>
          <w:szCs w:val="28"/>
        </w:rPr>
        <w:t xml:space="preserve"> Территориального органа Федеральной службы государственной статистики по Челябинской области о социально-экономическом развитии </w:t>
      </w:r>
      <w:r w:rsidR="00585226" w:rsidRPr="000A404A">
        <w:rPr>
          <w:color w:val="auto"/>
          <w:szCs w:val="28"/>
        </w:rPr>
        <w:t>Саткинского муниципального района</w:t>
      </w:r>
      <w:r w:rsidR="00D00BED" w:rsidRPr="000A404A">
        <w:rPr>
          <w:color w:val="auto"/>
          <w:szCs w:val="28"/>
        </w:rPr>
        <w:t xml:space="preserve"> за 20</w:t>
      </w:r>
      <w:r w:rsidR="00864FD1">
        <w:rPr>
          <w:color w:val="auto"/>
          <w:szCs w:val="28"/>
        </w:rPr>
        <w:t>20</w:t>
      </w:r>
      <w:r w:rsidR="00D00BED" w:rsidRPr="000A404A">
        <w:rPr>
          <w:color w:val="auto"/>
          <w:szCs w:val="28"/>
        </w:rPr>
        <w:t xml:space="preserve"> год</w:t>
      </w:r>
      <w:r w:rsidR="0039500D" w:rsidRPr="000A404A">
        <w:rPr>
          <w:color w:val="auto"/>
          <w:szCs w:val="28"/>
        </w:rPr>
        <w:t xml:space="preserve"> и</w:t>
      </w:r>
      <w:r w:rsidR="00D00BED" w:rsidRPr="000A404A">
        <w:rPr>
          <w:color w:val="auto"/>
          <w:szCs w:val="28"/>
        </w:rPr>
        <w:t xml:space="preserve"> за </w:t>
      </w:r>
      <w:r w:rsidR="0039500D" w:rsidRPr="000A404A">
        <w:rPr>
          <w:color w:val="auto"/>
          <w:szCs w:val="28"/>
        </w:rPr>
        <w:t xml:space="preserve">период с января по </w:t>
      </w:r>
      <w:r w:rsidR="00C84690" w:rsidRPr="000A404A">
        <w:rPr>
          <w:color w:val="auto"/>
          <w:szCs w:val="28"/>
        </w:rPr>
        <w:t>июн</w:t>
      </w:r>
      <w:r w:rsidR="00585226" w:rsidRPr="000A404A">
        <w:rPr>
          <w:color w:val="auto"/>
          <w:szCs w:val="28"/>
        </w:rPr>
        <w:t>ь</w:t>
      </w:r>
      <w:r w:rsidR="00C84690" w:rsidRPr="000A404A">
        <w:rPr>
          <w:color w:val="auto"/>
          <w:szCs w:val="28"/>
        </w:rPr>
        <w:t xml:space="preserve"> 20</w:t>
      </w:r>
      <w:r w:rsidR="000A404A" w:rsidRPr="000A404A">
        <w:rPr>
          <w:color w:val="auto"/>
          <w:szCs w:val="28"/>
        </w:rPr>
        <w:t>2</w:t>
      </w:r>
      <w:r w:rsidR="00864FD1">
        <w:rPr>
          <w:color w:val="auto"/>
          <w:szCs w:val="28"/>
        </w:rPr>
        <w:t>1</w:t>
      </w:r>
      <w:r w:rsidR="00C84690" w:rsidRPr="000A404A">
        <w:rPr>
          <w:color w:val="auto"/>
          <w:szCs w:val="28"/>
        </w:rPr>
        <w:t xml:space="preserve"> года; </w:t>
      </w:r>
    </w:p>
    <w:p w:rsidR="002243AF" w:rsidRPr="000A404A" w:rsidRDefault="002243AF" w:rsidP="00585226">
      <w:pPr>
        <w:pStyle w:val="Default"/>
        <w:spacing w:line="36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- информация из единого Реестра СМСП (Федеральной налоговой службы);</w:t>
      </w:r>
    </w:p>
    <w:p w:rsidR="00D00BED" w:rsidRPr="000A404A" w:rsidRDefault="007519E8" w:rsidP="00D00BED">
      <w:pPr>
        <w:pStyle w:val="Default"/>
        <w:spacing w:line="360" w:lineRule="auto"/>
        <w:ind w:firstLine="709"/>
        <w:jc w:val="both"/>
        <w:rPr>
          <w:color w:val="auto"/>
        </w:rPr>
      </w:pPr>
      <w:r w:rsidRPr="000A404A">
        <w:rPr>
          <w:color w:val="auto"/>
          <w:szCs w:val="28"/>
        </w:rPr>
        <w:t xml:space="preserve">- </w:t>
      </w:r>
      <w:r w:rsidRPr="000A404A">
        <w:rPr>
          <w:color w:val="auto"/>
        </w:rPr>
        <w:t xml:space="preserve"> </w:t>
      </w:r>
      <w:r w:rsidR="00C84690" w:rsidRPr="000A404A">
        <w:rPr>
          <w:color w:val="auto"/>
        </w:rPr>
        <w:t>прогнозные материалы</w:t>
      </w:r>
      <w:r w:rsidR="00E462D9" w:rsidRPr="000A404A">
        <w:rPr>
          <w:color w:val="auto"/>
        </w:rPr>
        <w:t xml:space="preserve"> на 20</w:t>
      </w:r>
      <w:r w:rsidR="00AE344D" w:rsidRPr="000A404A">
        <w:rPr>
          <w:color w:val="auto"/>
        </w:rPr>
        <w:t>2</w:t>
      </w:r>
      <w:r w:rsidR="00864FD1">
        <w:rPr>
          <w:color w:val="auto"/>
        </w:rPr>
        <w:t>2</w:t>
      </w:r>
      <w:r w:rsidR="00AE344D" w:rsidRPr="000A404A">
        <w:rPr>
          <w:color w:val="auto"/>
        </w:rPr>
        <w:t xml:space="preserve"> – 202</w:t>
      </w:r>
      <w:r w:rsidR="00864FD1">
        <w:rPr>
          <w:color w:val="auto"/>
        </w:rPr>
        <w:t>4</w:t>
      </w:r>
      <w:r w:rsidR="00AE344D" w:rsidRPr="000A404A">
        <w:rPr>
          <w:color w:val="auto"/>
        </w:rPr>
        <w:t xml:space="preserve"> годы</w:t>
      </w:r>
      <w:r w:rsidR="00D00BED" w:rsidRPr="000A404A">
        <w:rPr>
          <w:color w:val="auto"/>
        </w:rPr>
        <w:t>:</w:t>
      </w:r>
    </w:p>
    <w:p w:rsidR="00D00BED" w:rsidRPr="000A404A" w:rsidRDefault="00C84690" w:rsidP="00D00BED">
      <w:pPr>
        <w:pStyle w:val="Default"/>
        <w:spacing w:line="360" w:lineRule="auto"/>
        <w:ind w:firstLine="709"/>
        <w:jc w:val="both"/>
        <w:rPr>
          <w:color w:val="auto"/>
        </w:rPr>
      </w:pPr>
      <w:r w:rsidRPr="000A404A">
        <w:rPr>
          <w:color w:val="auto"/>
        </w:rPr>
        <w:t>крупных и средних предп</w:t>
      </w:r>
      <w:r w:rsidR="00D00BED" w:rsidRPr="000A404A">
        <w:rPr>
          <w:color w:val="auto"/>
        </w:rPr>
        <w:t>риятий Саткинского муниципального района,</w:t>
      </w:r>
    </w:p>
    <w:p w:rsidR="00D00BED" w:rsidRPr="000A404A" w:rsidRDefault="00D00BED" w:rsidP="00D00BED">
      <w:pPr>
        <w:pStyle w:val="Default"/>
        <w:spacing w:line="360" w:lineRule="auto"/>
        <w:ind w:firstLine="709"/>
        <w:jc w:val="both"/>
        <w:rPr>
          <w:color w:val="auto"/>
        </w:rPr>
      </w:pPr>
      <w:r w:rsidRPr="000A404A">
        <w:rPr>
          <w:color w:val="auto"/>
        </w:rPr>
        <w:t>отраслевых (функциональных) органов и структурных подразделений администрации Саткинского муниципального района</w:t>
      </w:r>
      <w:r w:rsidR="00B66EF7" w:rsidRPr="000A404A">
        <w:rPr>
          <w:color w:val="auto"/>
        </w:rPr>
        <w:t>,</w:t>
      </w:r>
    </w:p>
    <w:p w:rsidR="00D00BED" w:rsidRPr="000A404A" w:rsidRDefault="00D00BED" w:rsidP="00D00BED">
      <w:pPr>
        <w:pStyle w:val="Default"/>
        <w:spacing w:line="360" w:lineRule="auto"/>
        <w:ind w:firstLine="709"/>
        <w:jc w:val="both"/>
        <w:rPr>
          <w:color w:val="auto"/>
        </w:rPr>
      </w:pPr>
      <w:r w:rsidRPr="000A404A">
        <w:rPr>
          <w:color w:val="auto"/>
        </w:rPr>
        <w:t>городских и сельских поселений Саткинского муниципального района.</w:t>
      </w:r>
    </w:p>
    <w:p w:rsidR="00E462D9" w:rsidRDefault="00E462D9" w:rsidP="00D00BED">
      <w:pPr>
        <w:pStyle w:val="Default"/>
        <w:spacing w:line="360" w:lineRule="auto"/>
        <w:ind w:firstLine="709"/>
        <w:jc w:val="both"/>
        <w:rPr>
          <w:color w:val="FF0000"/>
        </w:rPr>
      </w:pPr>
    </w:p>
    <w:p w:rsidR="002412CF" w:rsidRDefault="002412CF" w:rsidP="00D00BED">
      <w:pPr>
        <w:pStyle w:val="Default"/>
        <w:spacing w:line="360" w:lineRule="auto"/>
        <w:ind w:firstLine="709"/>
        <w:jc w:val="both"/>
        <w:rPr>
          <w:color w:val="FF0000"/>
        </w:rPr>
      </w:pPr>
    </w:p>
    <w:p w:rsidR="00D00BED" w:rsidRPr="000A404A" w:rsidRDefault="00D00BED" w:rsidP="00D00B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A404A">
        <w:rPr>
          <w:rFonts w:ascii="Times New Roman" w:hAnsi="Times New Roman" w:cs="Times New Roman"/>
          <w:sz w:val="24"/>
          <w:szCs w:val="28"/>
        </w:rPr>
        <w:t>Методы,</w:t>
      </w:r>
      <w:r w:rsidR="00B66EF7" w:rsidRPr="000A404A">
        <w:rPr>
          <w:rFonts w:ascii="Times New Roman" w:hAnsi="Times New Roman" w:cs="Times New Roman"/>
          <w:sz w:val="24"/>
          <w:szCs w:val="28"/>
        </w:rPr>
        <w:t xml:space="preserve"> использованные для разработки П</w:t>
      </w:r>
      <w:r w:rsidRPr="000A404A">
        <w:rPr>
          <w:rFonts w:ascii="Times New Roman" w:hAnsi="Times New Roman" w:cs="Times New Roman"/>
          <w:sz w:val="24"/>
          <w:szCs w:val="28"/>
        </w:rPr>
        <w:t>рогноза отражены в схеме 1.</w:t>
      </w:r>
    </w:p>
    <w:p w:rsidR="007519E8" w:rsidRPr="000A404A" w:rsidRDefault="007519E8" w:rsidP="00D00BE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D00BED" w:rsidRPr="000A404A" w:rsidRDefault="00D00BED" w:rsidP="00D00BE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0A404A">
        <w:rPr>
          <w:rFonts w:ascii="Times New Roman" w:hAnsi="Times New Roman" w:cs="Times New Roman"/>
          <w:sz w:val="24"/>
          <w:szCs w:val="28"/>
        </w:rPr>
        <w:t>Схема 1</w:t>
      </w:r>
    </w:p>
    <w:p w:rsidR="00D00BED" w:rsidRPr="000A404A" w:rsidRDefault="00791478" w:rsidP="00D00BED">
      <w:pPr>
        <w:spacing w:after="0" w:line="36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2" o:spid="_x0000_s1026" style="position:absolute;left:0;text-align:left;flip:x y;z-index:251663360;visibility:visible" from="2.7pt,31.7pt" to="4.95pt,3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"/>
        </w:pict>
      </w: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46" style="position:absolute;left:0;text-align:left;flip:y;z-index:251664384;visibility:visible;mso-wrap-distance-top:-3e-5mm;mso-wrap-distance-bottom:-3e-5mm" from="4.2pt,30.95pt" to="97.9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"/>
        </w:pict>
      </w:r>
    </w:p>
    <w:tbl>
      <w:tblPr>
        <w:tblW w:w="0" w:type="auto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4"/>
      </w:tblGrid>
      <w:tr w:rsidR="00686AB3" w:rsidRPr="000A404A" w:rsidTr="00B66EF7">
        <w:trPr>
          <w:trHeight w:val="430"/>
        </w:trPr>
        <w:tc>
          <w:tcPr>
            <w:tcW w:w="6554" w:type="dxa"/>
            <w:shd w:val="clear" w:color="auto" w:fill="auto"/>
          </w:tcPr>
          <w:p w:rsidR="00D00BED" w:rsidRPr="000A404A" w:rsidRDefault="00D00BED" w:rsidP="00B66EF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Методы, использованные при разработке Прогноза</w:t>
            </w:r>
          </w:p>
        </w:tc>
      </w:tr>
    </w:tbl>
    <w:p w:rsidR="00D00BED" w:rsidRPr="000A404A" w:rsidRDefault="00791478" w:rsidP="00D00BED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51" o:spid="_x0000_s1045" style="position:absolute;left:0;text-align:left;z-index:251662336;visibility:visible;mso-wrap-distance-top:-3e-5mm;mso-wrap-distance-bottom:-3e-5mm;mso-position-horizontal-relative:text;mso-position-vertical-relative:text" from="4.6pt,45.3pt" to="29.4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">
            <v:stroke endarrow="block"/>
          </v:line>
        </w:pic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2"/>
      </w:tblGrid>
      <w:tr w:rsidR="00686AB3" w:rsidRPr="000A404A" w:rsidTr="001F4F71">
        <w:trPr>
          <w:trHeight w:val="840"/>
        </w:trPr>
        <w:tc>
          <w:tcPr>
            <w:tcW w:w="10201" w:type="dxa"/>
            <w:shd w:val="clear" w:color="auto" w:fill="auto"/>
            <w:vAlign w:val="center"/>
          </w:tcPr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noProof/>
                <w:lang w:eastAsia="ru-RU"/>
              </w:rPr>
              <w:t>Экономико-статистический метод</w:t>
            </w:r>
          </w:p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Изучение количественной стороны процессов, происходящих в экономике, при помощи статистических расчетов с целью выявления тенденций и закономерностей</w:t>
            </w:r>
          </w:p>
        </w:tc>
      </w:tr>
    </w:tbl>
    <w:p w:rsidR="00D00BED" w:rsidRPr="000A404A" w:rsidRDefault="00791478" w:rsidP="00D00BED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49" o:spid="_x0000_s1044" style="position:absolute;left:0;text-align:left;z-index:251665408;visibility:visible;mso-wrap-distance-top:-3e-5mm;mso-wrap-distance-bottom:-3e-5mm;mso-position-horizontal-relative:text;mso-position-vertical-relative:text" from="5pt,49.5pt" to="30.2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">
            <v:stroke endarrow="block"/>
          </v:line>
        </w:pic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2"/>
      </w:tblGrid>
      <w:tr w:rsidR="00686AB3" w:rsidRPr="000A404A" w:rsidTr="001F4F71">
        <w:trPr>
          <w:trHeight w:val="804"/>
        </w:trPr>
        <w:tc>
          <w:tcPr>
            <w:tcW w:w="10129" w:type="dxa"/>
            <w:shd w:val="clear" w:color="auto" w:fill="auto"/>
            <w:vAlign w:val="center"/>
          </w:tcPr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noProof/>
                <w:lang w:eastAsia="ru-RU"/>
              </w:rPr>
              <w:t>Нормативный метод</w:t>
            </w:r>
          </w:p>
          <w:p w:rsidR="00D00BED" w:rsidRPr="000A404A" w:rsidRDefault="00D00BED" w:rsidP="00B66EF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Технико-экономическое обоснование расчетов с использованием норм и нормативов</w:t>
            </w:r>
          </w:p>
        </w:tc>
      </w:tr>
    </w:tbl>
    <w:p w:rsidR="00D00BED" w:rsidRPr="000A404A" w:rsidRDefault="00791478" w:rsidP="00D00BED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48" o:spid="_x0000_s1043" style="position:absolute;left:0;text-align:left;z-index:251666432;visibility:visible;mso-wrap-distance-top:-3e-5mm;mso-wrap-distance-bottom:-3e-5mm;mso-position-horizontal-relative:text;mso-position-vertical-relative:text" from="4.1pt,54.45pt" to="28.7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">
            <v:stroke endarrow="block"/>
          </v:line>
        </w:pic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2"/>
      </w:tblGrid>
      <w:tr w:rsidR="00686AB3" w:rsidRPr="000A404A" w:rsidTr="001F4F71">
        <w:trPr>
          <w:trHeight w:val="445"/>
        </w:trPr>
        <w:tc>
          <w:tcPr>
            <w:tcW w:w="10153" w:type="dxa"/>
            <w:shd w:val="clear" w:color="auto" w:fill="auto"/>
            <w:vAlign w:val="center"/>
          </w:tcPr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noProof/>
                <w:lang w:eastAsia="ru-RU"/>
              </w:rPr>
              <w:t>Метод экспертных оценок</w:t>
            </w:r>
          </w:p>
          <w:p w:rsidR="00D00BED" w:rsidRPr="000A404A" w:rsidRDefault="00D00BED" w:rsidP="00B66EF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Анализ тенденций, оценка состояния различных факторов и процессов, их взаимозависимости и влияния на развитие прогнозируемого объекта</w:t>
            </w:r>
          </w:p>
        </w:tc>
      </w:tr>
    </w:tbl>
    <w:p w:rsidR="00D00BED" w:rsidRPr="000A404A" w:rsidRDefault="00791478" w:rsidP="00D00BED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47" o:spid="_x0000_s1042" style="position:absolute;left:0;text-align:left;z-index:251667456;visibility:visible;mso-wrap-distance-top:-3e-5mm;mso-wrap-distance-bottom:-3e-5mm;mso-position-horizontal-relative:text;mso-position-vertical-relative:text" from="5.45pt,52.05pt" to="30.0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">
            <v:stroke endarrow="block"/>
          </v:line>
        </w:pic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2"/>
      </w:tblGrid>
      <w:tr w:rsidR="00686AB3" w:rsidRPr="000A404A" w:rsidTr="001F4F71">
        <w:trPr>
          <w:trHeight w:val="446"/>
        </w:trPr>
        <w:tc>
          <w:tcPr>
            <w:tcW w:w="10117" w:type="dxa"/>
            <w:shd w:val="clear" w:color="auto" w:fill="auto"/>
            <w:vAlign w:val="center"/>
          </w:tcPr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noProof/>
                <w:lang w:eastAsia="ru-RU"/>
              </w:rPr>
              <w:t>Метод дефлятирования</w:t>
            </w:r>
          </w:p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noProof/>
                <w:u w:val="single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Перевод экономических показателей, рассчитанных в текущих ценах, в плановые с помощью соответствующих индексов-дефляторов цен</w:t>
            </w:r>
          </w:p>
        </w:tc>
      </w:tr>
    </w:tbl>
    <w:p w:rsidR="00D00BED" w:rsidRPr="000A404A" w:rsidRDefault="00791478" w:rsidP="00D00BED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46" o:spid="_x0000_s1041" style="position:absolute;left:0;text-align:left;z-index:251668480;visibility:visible;mso-wrap-distance-top:-3e-5mm;mso-wrap-distance-bottom:-3e-5mm;mso-position-horizontal-relative:text;mso-position-vertical-relative:text" from="5.6pt,53.85pt" to="30.2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">
            <v:stroke endarrow="block"/>
          </v:line>
        </w:pic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6"/>
      </w:tblGrid>
      <w:tr w:rsidR="00686AB3" w:rsidRPr="000A404A" w:rsidTr="00B66EF7">
        <w:trPr>
          <w:trHeight w:val="416"/>
        </w:trPr>
        <w:tc>
          <w:tcPr>
            <w:tcW w:w="8636" w:type="dxa"/>
            <w:shd w:val="clear" w:color="auto" w:fill="auto"/>
            <w:vAlign w:val="center"/>
          </w:tcPr>
          <w:p w:rsidR="00D00BED" w:rsidRPr="000A404A" w:rsidRDefault="00D00BED" w:rsidP="001F4F7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noProof/>
                <w:lang w:eastAsia="ru-RU"/>
              </w:rPr>
              <w:t>Метод экстраполяции</w:t>
            </w:r>
          </w:p>
          <w:p w:rsidR="00D00BED" w:rsidRPr="000A404A" w:rsidRDefault="00D00BED" w:rsidP="00B66E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 xml:space="preserve">Нахождение последующих значений путем умножения на </w:t>
            </w:r>
          </w:p>
          <w:p w:rsidR="00D00BED" w:rsidRPr="000A404A" w:rsidRDefault="00D00BED" w:rsidP="00B66EF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u w:val="single"/>
                <w:lang w:eastAsia="ru-RU"/>
              </w:rPr>
            </w:pPr>
            <w:r w:rsidRPr="000A404A">
              <w:rPr>
                <w:rFonts w:ascii="Times New Roman" w:hAnsi="Times New Roman" w:cs="Times New Roman"/>
                <w:lang w:eastAsia="ru-RU"/>
              </w:rPr>
              <w:t>индексы физического объема соответствующих показателей</w:t>
            </w:r>
          </w:p>
        </w:tc>
      </w:tr>
    </w:tbl>
    <w:p w:rsidR="00B66EF7" w:rsidRDefault="00B66EF7" w:rsidP="00B66EF7">
      <w:pPr>
        <w:pStyle w:val="Default"/>
        <w:spacing w:line="360" w:lineRule="auto"/>
        <w:ind w:firstLine="709"/>
        <w:jc w:val="both"/>
        <w:rPr>
          <w:color w:val="FF0000"/>
          <w:szCs w:val="28"/>
        </w:rPr>
      </w:pPr>
    </w:p>
    <w:p w:rsidR="00F277EF" w:rsidRDefault="00E462D9" w:rsidP="0011042C">
      <w:pPr>
        <w:pStyle w:val="Default"/>
        <w:spacing w:line="360" w:lineRule="auto"/>
        <w:ind w:firstLine="709"/>
        <w:jc w:val="both"/>
        <w:rPr>
          <w:color w:val="FF0000"/>
        </w:rPr>
      </w:pPr>
      <w:r w:rsidRPr="00AC50D9">
        <w:rPr>
          <w:color w:val="auto"/>
        </w:rPr>
        <w:lastRenderedPageBreak/>
        <w:t>Прогноз социально-экономического развития Саткинского муниципального района разработан в соответствии материалами Министерства экономического развития Российской Федерации для разработки прогноза социально-экономического развития субъектов Российской Федерации на 20</w:t>
      </w:r>
      <w:r w:rsidR="005E2DF3" w:rsidRPr="00AC50D9">
        <w:rPr>
          <w:color w:val="auto"/>
        </w:rPr>
        <w:t>2</w:t>
      </w:r>
      <w:r w:rsidR="00AC50D9" w:rsidRPr="00AC50D9">
        <w:rPr>
          <w:color w:val="auto"/>
        </w:rPr>
        <w:t>2</w:t>
      </w:r>
      <w:r w:rsidRPr="00AC50D9">
        <w:rPr>
          <w:color w:val="auto"/>
        </w:rPr>
        <w:t xml:space="preserve"> год и плановый период </w:t>
      </w:r>
      <w:r w:rsidR="00AC50D9">
        <w:rPr>
          <w:color w:val="auto"/>
        </w:rPr>
        <w:t xml:space="preserve">2023 и </w:t>
      </w:r>
      <w:r w:rsidR="005E2DF3" w:rsidRPr="00AC50D9">
        <w:rPr>
          <w:color w:val="auto"/>
        </w:rPr>
        <w:t>202</w:t>
      </w:r>
      <w:r w:rsidR="00AC50D9" w:rsidRPr="00AC50D9">
        <w:rPr>
          <w:color w:val="auto"/>
        </w:rPr>
        <w:t>4</w:t>
      </w:r>
      <w:r w:rsidR="005E2DF3" w:rsidRPr="00AC50D9">
        <w:rPr>
          <w:color w:val="auto"/>
        </w:rPr>
        <w:t xml:space="preserve"> год</w:t>
      </w:r>
      <w:r w:rsidR="00AC50D9">
        <w:rPr>
          <w:color w:val="auto"/>
        </w:rPr>
        <w:t>ов</w:t>
      </w:r>
      <w:r w:rsidR="005E2DF3" w:rsidRPr="00AC50D9">
        <w:rPr>
          <w:color w:val="auto"/>
        </w:rPr>
        <w:t>.</w:t>
      </w:r>
      <w:r w:rsidRPr="00AC50D9">
        <w:rPr>
          <w:color w:val="auto"/>
        </w:rPr>
        <w:t xml:space="preserve"> </w:t>
      </w:r>
      <w:r w:rsidR="0011042C" w:rsidRPr="00AC50D9">
        <w:rPr>
          <w:color w:val="auto"/>
        </w:rPr>
        <w:t xml:space="preserve">Минэкономразвития России разработало </w:t>
      </w:r>
      <w:r w:rsidR="00AC50D9" w:rsidRPr="00AC50D9">
        <w:rPr>
          <w:color w:val="auto"/>
        </w:rPr>
        <w:t xml:space="preserve">сценарные условия, основные параметры </w:t>
      </w:r>
      <w:r w:rsidR="0011042C" w:rsidRPr="00AC50D9">
        <w:rPr>
          <w:color w:val="auto"/>
        </w:rPr>
        <w:t>прогноз</w:t>
      </w:r>
      <w:r w:rsidR="00AC50D9" w:rsidRPr="00AC50D9">
        <w:rPr>
          <w:color w:val="auto"/>
        </w:rPr>
        <w:t>а</w:t>
      </w:r>
      <w:r w:rsidR="0011042C" w:rsidRPr="00AC50D9">
        <w:rPr>
          <w:color w:val="auto"/>
        </w:rPr>
        <w:t xml:space="preserve"> социально-экономического развития Российской Федерации и прогнозируемые изменения цен (тарифов) на товары, услуги хозяйствующих субъектов, осуществляющих регулируемые виды деятельности в инфраструктурном секторе, на 202</w:t>
      </w:r>
      <w:r w:rsidR="00AC50D9" w:rsidRPr="00AC50D9">
        <w:rPr>
          <w:color w:val="auto"/>
        </w:rPr>
        <w:t>2</w:t>
      </w:r>
      <w:r w:rsidR="0011042C" w:rsidRPr="00AC50D9">
        <w:rPr>
          <w:color w:val="auto"/>
        </w:rPr>
        <w:t xml:space="preserve"> год и на плановый период 202</w:t>
      </w:r>
      <w:r w:rsidR="00AC50D9" w:rsidRPr="00AC50D9">
        <w:rPr>
          <w:color w:val="auto"/>
        </w:rPr>
        <w:t>3 и 2024</w:t>
      </w:r>
      <w:r w:rsidR="0011042C" w:rsidRPr="00AC50D9">
        <w:rPr>
          <w:color w:val="auto"/>
        </w:rPr>
        <w:t xml:space="preserve"> годов (далее – прогноз). </w:t>
      </w:r>
    </w:p>
    <w:p w:rsidR="00F277EF" w:rsidRPr="00F277EF" w:rsidRDefault="00F277EF" w:rsidP="0011042C">
      <w:pPr>
        <w:pStyle w:val="Default"/>
        <w:spacing w:line="360" w:lineRule="auto"/>
        <w:ind w:firstLine="709"/>
        <w:jc w:val="both"/>
        <w:rPr>
          <w:color w:val="FF0000"/>
          <w:sz w:val="22"/>
        </w:rPr>
      </w:pPr>
      <w:r w:rsidRPr="00F277EF">
        <w:rPr>
          <w:szCs w:val="26"/>
        </w:rPr>
        <w:t xml:space="preserve">С момента подготовки Прогноза социально-экономического развития Российской Федерации наблюдается улучшение как внешних, так и внутренних условий развития российской экономики. Вместе с тем экономические последствия распространения новой </w:t>
      </w:r>
      <w:proofErr w:type="spellStart"/>
      <w:r w:rsidRPr="00F277EF">
        <w:rPr>
          <w:szCs w:val="26"/>
        </w:rPr>
        <w:t>коронавирусной</w:t>
      </w:r>
      <w:proofErr w:type="spellEnd"/>
      <w:r w:rsidRPr="00F277EF">
        <w:rPr>
          <w:szCs w:val="26"/>
        </w:rPr>
        <w:t xml:space="preserve"> инфекции в России и в мире до конца не преодолены – более того, в значительном числе стран вновь введены либо продлены карантинные ограничения, направленные на борьбу с ростом заболеваемости. В связи с этим сохраняется повышенная неопределенность траектории экономического развития как на кратко-, так и на среднесрочном горизонте, которая будет определяться не только экономическими, но и эпидемиологическими факторами.</w:t>
      </w:r>
    </w:p>
    <w:p w:rsidR="001A5E69" w:rsidRDefault="00F277EF" w:rsidP="0011042C">
      <w:pPr>
        <w:pStyle w:val="Default"/>
        <w:spacing w:line="360" w:lineRule="auto"/>
        <w:ind w:firstLine="709"/>
        <w:jc w:val="both"/>
        <w:rPr>
          <w:szCs w:val="26"/>
        </w:rPr>
      </w:pPr>
      <w:r w:rsidRPr="00F277EF">
        <w:rPr>
          <w:szCs w:val="26"/>
        </w:rPr>
        <w:t xml:space="preserve">Сценарные условия разработаны в двух вариантах – базовом и консервативном. Базовый вариант описывает наиболее вероятный сценарий развития российской экономики с учетом ожидаемых внешних условий и принимаемых мер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экономике. </w:t>
      </w:r>
    </w:p>
    <w:p w:rsidR="00F277EF" w:rsidRPr="00F277EF" w:rsidRDefault="00F277EF" w:rsidP="0011042C">
      <w:pPr>
        <w:pStyle w:val="Default"/>
        <w:spacing w:line="360" w:lineRule="auto"/>
        <w:ind w:firstLine="709"/>
        <w:jc w:val="both"/>
        <w:rPr>
          <w:color w:val="FF0000"/>
          <w:sz w:val="22"/>
        </w:rPr>
      </w:pPr>
      <w:r w:rsidRPr="00F277EF">
        <w:rPr>
          <w:szCs w:val="26"/>
        </w:rPr>
        <w:t xml:space="preserve">Консервативный вариант основан на предпосылке о более затяжном восстановлении экономики и структурном замедлении темпов ее роста в среднесрочной перспективе из-за последствий распространения новой </w:t>
      </w:r>
      <w:proofErr w:type="spellStart"/>
      <w:r w:rsidRPr="00F277EF">
        <w:rPr>
          <w:szCs w:val="26"/>
        </w:rPr>
        <w:t>коронавирусной</w:t>
      </w:r>
      <w:proofErr w:type="spellEnd"/>
      <w:r w:rsidRPr="00F277EF">
        <w:rPr>
          <w:szCs w:val="26"/>
        </w:rPr>
        <w:t xml:space="preserve"> инфекции.</w:t>
      </w:r>
    </w:p>
    <w:p w:rsidR="00325472" w:rsidRPr="00864FD1" w:rsidRDefault="00E462D9" w:rsidP="00325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34C57">
        <w:rPr>
          <w:rFonts w:ascii="Times New Roman" w:hAnsi="Times New Roman" w:cs="Times New Roman"/>
          <w:sz w:val="24"/>
          <w:szCs w:val="24"/>
        </w:rPr>
        <w:t xml:space="preserve">При разработке прогноза были приняты во внимание тенденции, сложившиеся за отчетные периоды, которые формируют общую </w:t>
      </w:r>
      <w:r w:rsidR="003C7BF1">
        <w:rPr>
          <w:rFonts w:ascii="Times New Roman" w:hAnsi="Times New Roman" w:cs="Times New Roman"/>
          <w:sz w:val="24"/>
          <w:szCs w:val="24"/>
        </w:rPr>
        <w:t>информацию о</w:t>
      </w:r>
      <w:r w:rsidRPr="00134C57">
        <w:rPr>
          <w:rFonts w:ascii="Times New Roman" w:hAnsi="Times New Roman" w:cs="Times New Roman"/>
          <w:sz w:val="24"/>
          <w:szCs w:val="24"/>
        </w:rPr>
        <w:t xml:space="preserve"> социально-экономическо</w:t>
      </w:r>
      <w:r w:rsidR="003C7BF1">
        <w:rPr>
          <w:rFonts w:ascii="Times New Roman" w:hAnsi="Times New Roman" w:cs="Times New Roman"/>
          <w:sz w:val="24"/>
          <w:szCs w:val="24"/>
        </w:rPr>
        <w:t>м</w:t>
      </w:r>
      <w:r w:rsidRPr="00134C57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3C7BF1">
        <w:rPr>
          <w:rFonts w:ascii="Times New Roman" w:hAnsi="Times New Roman" w:cs="Times New Roman"/>
          <w:sz w:val="24"/>
          <w:szCs w:val="24"/>
        </w:rPr>
        <w:t>и</w:t>
      </w:r>
      <w:r w:rsidRPr="00134C57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района. </w:t>
      </w:r>
    </w:p>
    <w:p w:rsidR="00325472" w:rsidRPr="00134C57" w:rsidRDefault="00927285" w:rsidP="00325472">
      <w:pPr>
        <w:pStyle w:val="Default"/>
        <w:spacing w:line="360" w:lineRule="auto"/>
        <w:ind w:firstLine="709"/>
        <w:jc w:val="both"/>
        <w:rPr>
          <w:color w:val="auto"/>
        </w:rPr>
      </w:pPr>
      <w:r w:rsidRPr="00134C57">
        <w:rPr>
          <w:color w:val="auto"/>
        </w:rPr>
        <w:t>Прогноз социально-экономического развития Саткинского муниципального района разработан в соответствии с целями и задачами Стратегии социально-экономического развития Саткинского муниципального района на период до 2035 года.</w:t>
      </w:r>
    </w:p>
    <w:p w:rsidR="009C7CBC" w:rsidRDefault="00E462D9" w:rsidP="009C7CBC">
      <w:pPr>
        <w:pStyle w:val="Default"/>
        <w:spacing w:line="360" w:lineRule="auto"/>
        <w:ind w:firstLine="709"/>
        <w:jc w:val="both"/>
        <w:rPr>
          <w:color w:val="auto"/>
        </w:rPr>
      </w:pPr>
      <w:r w:rsidRPr="00F277EF">
        <w:rPr>
          <w:color w:val="auto"/>
          <w:szCs w:val="28"/>
        </w:rPr>
        <w:t xml:space="preserve">Прогноз </w:t>
      </w:r>
      <w:r w:rsidR="008759AE" w:rsidRPr="00F277EF">
        <w:rPr>
          <w:color w:val="auto"/>
        </w:rPr>
        <w:t xml:space="preserve">Саткинского муниципального района </w:t>
      </w:r>
      <w:r w:rsidRPr="00F277EF">
        <w:rPr>
          <w:color w:val="auto"/>
          <w:szCs w:val="28"/>
        </w:rPr>
        <w:t xml:space="preserve">разработан в </w:t>
      </w:r>
      <w:r w:rsidR="00F277EF" w:rsidRPr="00F277EF">
        <w:rPr>
          <w:color w:val="auto"/>
          <w:szCs w:val="28"/>
        </w:rPr>
        <w:t>двух</w:t>
      </w:r>
      <w:r w:rsidRPr="00F277EF">
        <w:rPr>
          <w:color w:val="auto"/>
          <w:szCs w:val="28"/>
        </w:rPr>
        <w:t xml:space="preserve"> вариантах: вариант 1 (консервативный), вариант 2 (базовый). </w:t>
      </w:r>
      <w:r w:rsidRPr="00F277EF">
        <w:rPr>
          <w:color w:val="auto"/>
        </w:rPr>
        <w:t xml:space="preserve">Различия в количественных оценках </w:t>
      </w:r>
      <w:r w:rsidRPr="00F277EF">
        <w:rPr>
          <w:color w:val="auto"/>
        </w:rPr>
        <w:lastRenderedPageBreak/>
        <w:t xml:space="preserve">этих вариантов определяются степенью выполнения поставленных задач в результате воздействия благоприятных и неблагоприятных тенденций и факторов социально-экономического </w:t>
      </w:r>
      <w:r w:rsidR="00540851" w:rsidRPr="00F277EF">
        <w:rPr>
          <w:color w:val="auto"/>
        </w:rPr>
        <w:t xml:space="preserve">и эпидемиологического </w:t>
      </w:r>
      <w:r w:rsidRPr="00F277EF">
        <w:rPr>
          <w:color w:val="auto"/>
        </w:rPr>
        <w:t>развития</w:t>
      </w:r>
      <w:r w:rsidR="008759AE" w:rsidRPr="00F277EF">
        <w:rPr>
          <w:color w:val="auto"/>
        </w:rPr>
        <w:t>. В вариантах прогноза - ключевым источником риска для параметров прогноза явля</w:t>
      </w:r>
      <w:r w:rsidR="00F277EF" w:rsidRPr="00F277EF">
        <w:rPr>
          <w:color w:val="auto"/>
        </w:rPr>
        <w:t>ю</w:t>
      </w:r>
      <w:r w:rsidR="008759AE" w:rsidRPr="00F277EF">
        <w:rPr>
          <w:color w:val="auto"/>
        </w:rPr>
        <w:t xml:space="preserve">тся </w:t>
      </w:r>
      <w:r w:rsidR="00F277EF" w:rsidRPr="00F277EF">
        <w:rPr>
          <w:color w:val="auto"/>
          <w:szCs w:val="26"/>
        </w:rPr>
        <w:t xml:space="preserve">экономические последствия распространения новой </w:t>
      </w:r>
      <w:proofErr w:type="spellStart"/>
      <w:r w:rsidR="00F277EF" w:rsidRPr="00F277EF">
        <w:rPr>
          <w:color w:val="auto"/>
          <w:szCs w:val="26"/>
        </w:rPr>
        <w:t>коронавирусной</w:t>
      </w:r>
      <w:proofErr w:type="spellEnd"/>
      <w:r w:rsidR="00F277EF" w:rsidRPr="00F277EF">
        <w:rPr>
          <w:color w:val="auto"/>
          <w:szCs w:val="26"/>
        </w:rPr>
        <w:t xml:space="preserve"> инфекции</w:t>
      </w:r>
      <w:r w:rsidR="008759AE" w:rsidRPr="00F277EF">
        <w:rPr>
          <w:color w:val="auto"/>
        </w:rPr>
        <w:t>.</w:t>
      </w:r>
    </w:p>
    <w:p w:rsidR="009C7CBC" w:rsidRDefault="009C7CBC" w:rsidP="009C7CBC">
      <w:pPr>
        <w:pStyle w:val="Default"/>
        <w:spacing w:line="360" w:lineRule="auto"/>
        <w:ind w:firstLine="709"/>
        <w:jc w:val="both"/>
        <w:rPr>
          <w:color w:val="auto"/>
        </w:rPr>
      </w:pPr>
      <w:r w:rsidRPr="009C7CBC">
        <w:rPr>
          <w:color w:val="auto"/>
        </w:rPr>
        <w:t>При разработке Прогноза приняты во внимание изменения внутренних и</w:t>
      </w:r>
      <w:r>
        <w:rPr>
          <w:color w:val="auto"/>
        </w:rPr>
        <w:t xml:space="preserve"> </w:t>
      </w:r>
      <w:r w:rsidRPr="009C7CBC">
        <w:rPr>
          <w:color w:val="auto"/>
        </w:rPr>
        <w:t>внешних условий, динамика внешнеэкономической конъюнктуры и тенденции</w:t>
      </w:r>
      <w:r>
        <w:rPr>
          <w:color w:val="auto"/>
        </w:rPr>
        <w:t xml:space="preserve"> </w:t>
      </w:r>
      <w:r w:rsidRPr="009C7CBC">
        <w:rPr>
          <w:color w:val="auto"/>
        </w:rPr>
        <w:t>развития мировой экономики, высокая степень неопределенности, связанная, в</w:t>
      </w:r>
      <w:r>
        <w:rPr>
          <w:color w:val="auto"/>
        </w:rPr>
        <w:t xml:space="preserve"> </w:t>
      </w:r>
      <w:r w:rsidRPr="009C7CBC">
        <w:rPr>
          <w:color w:val="auto"/>
        </w:rPr>
        <w:t xml:space="preserve">том числе, с </w:t>
      </w:r>
      <w:r w:rsidR="00D309E1" w:rsidRPr="009C7CBC">
        <w:rPr>
          <w:color w:val="auto"/>
        </w:rPr>
        <w:t>эпидемиологическими</w:t>
      </w:r>
      <w:r w:rsidRPr="009C7CBC">
        <w:rPr>
          <w:color w:val="auto"/>
        </w:rPr>
        <w:t xml:space="preserve"> факторами.</w:t>
      </w:r>
    </w:p>
    <w:p w:rsidR="009C7CBC" w:rsidRPr="009C7CBC" w:rsidRDefault="009C7CBC" w:rsidP="009C7CBC">
      <w:pPr>
        <w:pStyle w:val="Default"/>
        <w:spacing w:line="360" w:lineRule="auto"/>
        <w:ind w:firstLine="709"/>
        <w:jc w:val="both"/>
        <w:rPr>
          <w:color w:val="auto"/>
        </w:rPr>
      </w:pPr>
      <w:r w:rsidRPr="009C7CBC">
        <w:rPr>
          <w:color w:val="auto"/>
        </w:rPr>
        <w:t>Среди сдерживающих факторов можно отметить сохранение</w:t>
      </w:r>
      <w:r>
        <w:rPr>
          <w:color w:val="auto"/>
        </w:rPr>
        <w:t xml:space="preserve"> </w:t>
      </w:r>
      <w:r w:rsidRPr="009C7CBC">
        <w:rPr>
          <w:color w:val="auto"/>
        </w:rPr>
        <w:t>волатильности курса рубля из-за колебания цен на нефть, затоваривание</w:t>
      </w:r>
      <w:r>
        <w:rPr>
          <w:color w:val="auto"/>
        </w:rPr>
        <w:t xml:space="preserve"> </w:t>
      </w:r>
      <w:r w:rsidRPr="009C7CBC">
        <w:rPr>
          <w:color w:val="auto"/>
        </w:rPr>
        <w:t>рынков сырья и материалов ввиду сокращения спроса и, как следствие,</w:t>
      </w:r>
      <w:r>
        <w:rPr>
          <w:color w:val="auto"/>
        </w:rPr>
        <w:t xml:space="preserve"> </w:t>
      </w:r>
      <w:r w:rsidRPr="009C7CBC">
        <w:rPr>
          <w:color w:val="auto"/>
        </w:rPr>
        <w:t>снижение цен на них.</w:t>
      </w:r>
    </w:p>
    <w:p w:rsidR="007519E8" w:rsidRPr="00134C57" w:rsidRDefault="00A25008" w:rsidP="00E46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34C57">
        <w:rPr>
          <w:rFonts w:ascii="Times New Roman" w:hAnsi="Times New Roman" w:cs="Times New Roman"/>
          <w:sz w:val="24"/>
          <w:szCs w:val="28"/>
        </w:rPr>
        <w:t xml:space="preserve">Основным механизмом решения стратегических задач </w:t>
      </w:r>
      <w:r w:rsidR="008C680C" w:rsidRPr="00134C57">
        <w:rPr>
          <w:rFonts w:ascii="Times New Roman" w:hAnsi="Times New Roman" w:cs="Times New Roman"/>
          <w:sz w:val="24"/>
          <w:szCs w:val="28"/>
        </w:rPr>
        <w:t>в прогнозный период</w:t>
      </w:r>
      <w:r w:rsidRPr="00134C57">
        <w:rPr>
          <w:rFonts w:ascii="Times New Roman" w:hAnsi="Times New Roman" w:cs="Times New Roman"/>
          <w:sz w:val="24"/>
          <w:szCs w:val="28"/>
        </w:rPr>
        <w:t xml:space="preserve"> будет реализация </w:t>
      </w:r>
      <w:r w:rsidR="009833BF" w:rsidRPr="00134C57">
        <w:rPr>
          <w:rFonts w:ascii="Times New Roman" w:hAnsi="Times New Roman" w:cs="Times New Roman"/>
          <w:sz w:val="24"/>
          <w:szCs w:val="28"/>
        </w:rPr>
        <w:t xml:space="preserve">инвестиционных </w:t>
      </w:r>
      <w:r w:rsidRPr="00134C57">
        <w:rPr>
          <w:rFonts w:ascii="Times New Roman" w:hAnsi="Times New Roman" w:cs="Times New Roman"/>
          <w:sz w:val="24"/>
          <w:szCs w:val="28"/>
        </w:rPr>
        <w:t>проектов</w:t>
      </w:r>
      <w:r w:rsidR="00B106C1">
        <w:rPr>
          <w:rFonts w:ascii="Times New Roman" w:hAnsi="Times New Roman" w:cs="Times New Roman"/>
          <w:sz w:val="24"/>
          <w:szCs w:val="28"/>
        </w:rPr>
        <w:t xml:space="preserve"> ведущих организаций района</w:t>
      </w:r>
      <w:r w:rsidR="009833BF" w:rsidRPr="00134C57">
        <w:rPr>
          <w:rFonts w:ascii="Times New Roman" w:hAnsi="Times New Roman" w:cs="Times New Roman"/>
          <w:sz w:val="24"/>
          <w:szCs w:val="28"/>
        </w:rPr>
        <w:t>, программ и мероприятий</w:t>
      </w:r>
      <w:r w:rsidRPr="00134C57">
        <w:rPr>
          <w:rFonts w:ascii="Times New Roman" w:hAnsi="Times New Roman" w:cs="Times New Roman"/>
          <w:sz w:val="24"/>
          <w:szCs w:val="28"/>
        </w:rPr>
        <w:t xml:space="preserve"> по направлениям социально-экономического развития </w:t>
      </w:r>
      <w:r w:rsidR="009833BF" w:rsidRPr="00134C57">
        <w:rPr>
          <w:rFonts w:ascii="Times New Roman" w:hAnsi="Times New Roman" w:cs="Times New Roman"/>
          <w:sz w:val="24"/>
          <w:szCs w:val="28"/>
        </w:rPr>
        <w:t>через реализацию</w:t>
      </w:r>
      <w:r w:rsidRPr="00134C57">
        <w:rPr>
          <w:rFonts w:ascii="Times New Roman" w:hAnsi="Times New Roman" w:cs="Times New Roman"/>
          <w:sz w:val="24"/>
          <w:szCs w:val="28"/>
        </w:rPr>
        <w:t xml:space="preserve"> муниципальных программ.</w:t>
      </w:r>
    </w:p>
    <w:p w:rsidR="00500672" w:rsidRPr="00864FD1" w:rsidRDefault="00500672" w:rsidP="00176BDD">
      <w:pPr>
        <w:pStyle w:val="Default"/>
        <w:spacing w:line="360" w:lineRule="auto"/>
        <w:ind w:firstLine="709"/>
        <w:jc w:val="both"/>
        <w:rPr>
          <w:color w:val="FF0000"/>
          <w:szCs w:val="23"/>
        </w:rPr>
      </w:pPr>
    </w:p>
    <w:p w:rsidR="002412CF" w:rsidRPr="00864FD1" w:rsidRDefault="002412CF" w:rsidP="00176BDD">
      <w:pPr>
        <w:pStyle w:val="Default"/>
        <w:spacing w:line="360" w:lineRule="auto"/>
        <w:ind w:firstLine="709"/>
        <w:jc w:val="both"/>
        <w:rPr>
          <w:color w:val="FF0000"/>
          <w:szCs w:val="23"/>
        </w:rPr>
      </w:pPr>
    </w:p>
    <w:p w:rsidR="002412CF" w:rsidRPr="00864FD1" w:rsidRDefault="002412CF" w:rsidP="00176BDD">
      <w:pPr>
        <w:pStyle w:val="Default"/>
        <w:spacing w:line="360" w:lineRule="auto"/>
        <w:ind w:firstLine="709"/>
        <w:jc w:val="both"/>
        <w:rPr>
          <w:color w:val="FF0000"/>
          <w:szCs w:val="23"/>
        </w:rPr>
      </w:pPr>
    </w:p>
    <w:p w:rsidR="002412CF" w:rsidRPr="00864FD1" w:rsidRDefault="002412CF" w:rsidP="00176BDD">
      <w:pPr>
        <w:pStyle w:val="Default"/>
        <w:spacing w:line="360" w:lineRule="auto"/>
        <w:ind w:firstLine="709"/>
        <w:jc w:val="both"/>
        <w:rPr>
          <w:color w:val="FF0000"/>
          <w:szCs w:val="23"/>
        </w:rPr>
      </w:pPr>
    </w:p>
    <w:p w:rsidR="002412CF" w:rsidRDefault="002412CF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2412CF" w:rsidRDefault="002412CF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B106C1" w:rsidRDefault="00B106C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D92BF6" w:rsidRDefault="00D92BF6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3C7BF1" w:rsidRDefault="003C7BF1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</w:p>
    <w:p w:rsidR="007519E8" w:rsidRPr="00755668" w:rsidRDefault="00E462D9" w:rsidP="00176BDD">
      <w:pPr>
        <w:pStyle w:val="Default"/>
        <w:spacing w:line="360" w:lineRule="auto"/>
        <w:ind w:firstLine="709"/>
        <w:jc w:val="both"/>
        <w:rPr>
          <w:color w:val="auto"/>
          <w:szCs w:val="23"/>
        </w:rPr>
      </w:pPr>
      <w:r w:rsidRPr="00755668">
        <w:rPr>
          <w:color w:val="auto"/>
          <w:szCs w:val="23"/>
        </w:rPr>
        <w:t>Основные показатели (параметры) прогноза социально-экономического развития на 20</w:t>
      </w:r>
      <w:r w:rsidR="00F5081C" w:rsidRPr="00755668">
        <w:rPr>
          <w:color w:val="auto"/>
          <w:szCs w:val="23"/>
        </w:rPr>
        <w:t>2</w:t>
      </w:r>
      <w:r w:rsidR="00864FD1">
        <w:rPr>
          <w:color w:val="auto"/>
          <w:szCs w:val="23"/>
        </w:rPr>
        <w:t>2</w:t>
      </w:r>
      <w:r w:rsidRPr="00755668">
        <w:rPr>
          <w:color w:val="auto"/>
          <w:szCs w:val="23"/>
        </w:rPr>
        <w:t xml:space="preserve"> </w:t>
      </w:r>
      <w:r w:rsidR="0089086C">
        <w:rPr>
          <w:color w:val="auto"/>
          <w:szCs w:val="23"/>
        </w:rPr>
        <w:t>год и плановый период 202</w:t>
      </w:r>
      <w:r w:rsidR="00864FD1">
        <w:rPr>
          <w:color w:val="auto"/>
          <w:szCs w:val="23"/>
        </w:rPr>
        <w:t>3</w:t>
      </w:r>
      <w:r w:rsidR="0089086C">
        <w:rPr>
          <w:color w:val="auto"/>
          <w:szCs w:val="23"/>
        </w:rPr>
        <w:t xml:space="preserve"> и</w:t>
      </w:r>
      <w:r w:rsidRPr="00755668">
        <w:rPr>
          <w:color w:val="auto"/>
          <w:szCs w:val="23"/>
        </w:rPr>
        <w:t xml:space="preserve"> 202</w:t>
      </w:r>
      <w:r w:rsidR="00864FD1">
        <w:rPr>
          <w:color w:val="auto"/>
          <w:szCs w:val="23"/>
        </w:rPr>
        <w:t>4</w:t>
      </w:r>
      <w:r w:rsidRPr="00755668">
        <w:rPr>
          <w:color w:val="auto"/>
          <w:szCs w:val="23"/>
        </w:rPr>
        <w:t xml:space="preserve"> год</w:t>
      </w:r>
      <w:r w:rsidR="0089086C">
        <w:rPr>
          <w:color w:val="auto"/>
          <w:szCs w:val="23"/>
        </w:rPr>
        <w:t>ов</w:t>
      </w:r>
      <w:r w:rsidRPr="00755668">
        <w:rPr>
          <w:color w:val="auto"/>
          <w:szCs w:val="23"/>
        </w:rPr>
        <w:t xml:space="preserve"> представлены в схеме 2.</w:t>
      </w:r>
    </w:p>
    <w:p w:rsidR="00500672" w:rsidRDefault="00500672" w:rsidP="00E462D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E462D9" w:rsidRPr="00755668" w:rsidRDefault="00791478" w:rsidP="00E462D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6" o:spid="_x0000_s1040" style="position:absolute;left:0;text-align:left;flip:x;z-index:251682816;visibility:visible;mso-wrap-distance-top:-3e-5mm;mso-wrap-distance-bottom:-3e-5mm" from="15.8pt,282.05pt" to="45.8pt,2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">
            <v:stroke startarrow="block"/>
          </v:line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77" o:spid="_x0000_s1039" style="position:absolute;left:0;text-align:left;flip:x;z-index:251674624;visibility:visible;mso-wrap-distance-top:-3e-5mm;mso-wrap-distance-bottom:-3e-5mm" from="15.55pt,366.45pt" to="45.55pt,3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">
            <v:stroke startarrow="block"/>
          </v:line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8" o:spid="_x0000_s1038" style="position:absolute;left:0;text-align:left;flip:x;z-index:251686912;visibility:visible;mso-wrap-distance-top:-3e-5mm;mso-wrap-distance-bottom:-3e-5mm" from="16.5pt,445.7pt" to="46.5pt,4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">
            <v:stroke startarrow="block"/>
          </v:line>
        </w:pict>
      </w:r>
      <w:r w:rsidRPr="00791478">
        <w:rPr>
          <w:noProof/>
          <w:color w:val="FF0000"/>
          <w:lang w:eastAsia="ru-RU"/>
        </w:rPr>
        <w:pict>
          <v:line id="Прямая соединительная линия 16" o:spid="_x0000_s1037" style="position:absolute;left:0;text-align:left;flip:x;z-index:251705344;visibility:visible;mso-wrap-distance-top:-3e-5mm;mso-wrap-distance-bottom:-3e-5mm" from="17.9pt,615.05pt" to="47.9pt,6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">
            <v:stroke startarrow="block"/>
          </v:line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7" o:spid="_x0000_s1036" style="position:absolute;left:0;text-align:left;flip:x;z-index:251684864;visibility:visible;mso-wrap-distance-top:-3e-5mm;mso-wrap-distance-bottom:-3e-5mm" from="17.15pt,524.85pt" to="47.15pt,5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">
            <v:stroke startarrow="block"/>
          </v:line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78" o:spid="_x0000_s1035" style="position:absolute;left:0;text-align:left;flip:x;z-index:251670528;visibility:visible;mso-wrap-distance-top:-3e-5mm;mso-wrap-distance-bottom:-3e-5mm" from="15.35pt,171.85pt" to="45.35pt,1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">
            <v:stroke startarrow="block"/>
          </v:line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3" o:spid="_x0000_s1034" style="position:absolute;left:0;text-align:left;z-index:251671552;visibility:visible" from="16.15pt,62.7pt" to="16.85pt,6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"/>
        </w:pict>
      </w:r>
      <w:r w:rsidRPr="00791478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79" o:spid="_x0000_s1033" style="position:absolute;left:0;text-align:left;flip:x;z-index:251673600;visibility:visible;mso-wrap-distance-top:-3e-5mm;mso-wrap-distance-bottom:-3e-5mm" from="17.45pt,62.65pt" to="47.45pt,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"/>
        </w:pict>
      </w:r>
      <w:r w:rsidR="00E462D9" w:rsidRPr="00755668">
        <w:rPr>
          <w:rFonts w:ascii="Times New Roman" w:hAnsi="Times New Roman" w:cs="Times New Roman"/>
          <w:sz w:val="24"/>
          <w:szCs w:val="28"/>
        </w:rPr>
        <w:t>Схема 2</w:t>
      </w:r>
    </w:p>
    <w:tbl>
      <w:tblPr>
        <w:tblW w:w="0" w:type="auto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6"/>
      </w:tblGrid>
      <w:tr w:rsidR="00333BD1" w:rsidRPr="00755668" w:rsidTr="00333BD1">
        <w:trPr>
          <w:trHeight w:val="1584"/>
        </w:trPr>
        <w:tc>
          <w:tcPr>
            <w:tcW w:w="8396" w:type="dxa"/>
            <w:shd w:val="clear" w:color="auto" w:fill="auto"/>
          </w:tcPr>
          <w:p w:rsidR="00180B8D" w:rsidRPr="00755668" w:rsidRDefault="008E38B3" w:rsidP="00333BD1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5668">
              <w:rPr>
                <w:rFonts w:ascii="Times New Roman" w:hAnsi="Times New Roman" w:cs="Times New Roman"/>
                <w:lang w:eastAsia="ru-RU"/>
              </w:rPr>
              <w:t>Основные показатели</w:t>
            </w:r>
            <w:r w:rsidR="00180B8D" w:rsidRPr="00755668">
              <w:rPr>
                <w:rFonts w:ascii="Times New Roman" w:hAnsi="Times New Roman" w:cs="Times New Roman"/>
                <w:lang w:eastAsia="ru-RU"/>
              </w:rPr>
              <w:t xml:space="preserve"> (параметры)</w:t>
            </w:r>
          </w:p>
          <w:p w:rsidR="00333BD1" w:rsidRDefault="008E38B3" w:rsidP="00333BD1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5668">
              <w:rPr>
                <w:rFonts w:ascii="Times New Roman" w:hAnsi="Times New Roman" w:cs="Times New Roman"/>
                <w:lang w:eastAsia="ru-RU"/>
              </w:rPr>
              <w:t xml:space="preserve"> Прогноза социально-экономического развития </w:t>
            </w:r>
          </w:p>
          <w:p w:rsidR="00D92BF6" w:rsidRDefault="008E38B3" w:rsidP="00333BD1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5668">
              <w:rPr>
                <w:rFonts w:ascii="Times New Roman" w:hAnsi="Times New Roman" w:cs="Times New Roman"/>
                <w:lang w:eastAsia="ru-RU"/>
              </w:rPr>
              <w:t>Саткинского муниципального района на 20</w:t>
            </w:r>
            <w:r w:rsidR="00F5081C" w:rsidRPr="00755668">
              <w:rPr>
                <w:rFonts w:ascii="Times New Roman" w:hAnsi="Times New Roman" w:cs="Times New Roman"/>
                <w:lang w:eastAsia="ru-RU"/>
              </w:rPr>
              <w:t>2</w:t>
            </w:r>
            <w:r w:rsidR="00864FD1">
              <w:rPr>
                <w:rFonts w:ascii="Times New Roman" w:hAnsi="Times New Roman" w:cs="Times New Roman"/>
                <w:lang w:eastAsia="ru-RU"/>
              </w:rPr>
              <w:t>2</w:t>
            </w:r>
            <w:r w:rsidR="0089086C">
              <w:rPr>
                <w:rFonts w:ascii="Times New Roman" w:hAnsi="Times New Roman" w:cs="Times New Roman"/>
                <w:lang w:eastAsia="ru-RU"/>
              </w:rPr>
              <w:t xml:space="preserve"> год </w:t>
            </w:r>
          </w:p>
          <w:p w:rsidR="008E38B3" w:rsidRPr="00755668" w:rsidRDefault="0089086C" w:rsidP="00D92BF6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2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 плановый период 202</w:t>
            </w:r>
            <w:r w:rsidR="00864FD1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="00F5081C" w:rsidRPr="00755668">
              <w:rPr>
                <w:rFonts w:ascii="Times New Roman" w:hAnsi="Times New Roman" w:cs="Times New Roman"/>
                <w:lang w:eastAsia="ru-RU"/>
              </w:rPr>
              <w:t>202</w:t>
            </w:r>
            <w:r w:rsidR="00864FD1">
              <w:rPr>
                <w:rFonts w:ascii="Times New Roman" w:hAnsi="Times New Roman" w:cs="Times New Roman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годов</w:t>
            </w:r>
            <w:r w:rsidR="00D92BF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855F4" w:rsidRPr="00755668">
              <w:rPr>
                <w:rFonts w:ascii="Times New Roman" w:hAnsi="Times New Roman" w:cs="Times New Roman"/>
                <w:lang w:eastAsia="ru-RU"/>
              </w:rPr>
              <w:t>(по вариантам прогноза)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8E38B3" w:rsidRPr="00F10569" w:rsidRDefault="009855F4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0569">
              <w:rPr>
                <w:rFonts w:ascii="Times New Roman" w:hAnsi="Times New Roman" w:cs="Times New Roman"/>
                <w:lang w:eastAsia="ru-RU"/>
              </w:rPr>
              <w:t>Среднегодовая численность постоянного населения</w:t>
            </w:r>
            <w:r w:rsidR="008E38B3" w:rsidRPr="00F10569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8E38B3" w:rsidRPr="00F10569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0569">
              <w:rPr>
                <w:rFonts w:ascii="Times New Roman" w:hAnsi="Times New Roman" w:cs="Times New Roman"/>
                <w:lang w:eastAsia="ru-RU"/>
              </w:rPr>
              <w:t>20</w:t>
            </w:r>
            <w:r w:rsidR="009855F4" w:rsidRPr="00F10569">
              <w:rPr>
                <w:rFonts w:ascii="Times New Roman" w:hAnsi="Times New Roman" w:cs="Times New Roman"/>
                <w:lang w:eastAsia="ru-RU"/>
              </w:rPr>
              <w:t>2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2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>7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5,</w:t>
            </w:r>
            <w:r w:rsidR="00BC4148">
              <w:rPr>
                <w:rFonts w:ascii="Times New Roman" w:hAnsi="Times New Roman" w:cs="Times New Roman"/>
                <w:lang w:eastAsia="ru-RU"/>
              </w:rPr>
              <w:t>3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C6AD9" w:rsidRPr="00F10569">
              <w:rPr>
                <w:rFonts w:ascii="Times New Roman" w:hAnsi="Times New Roman" w:cs="Times New Roman"/>
                <w:lang w:eastAsia="ru-RU"/>
              </w:rPr>
              <w:t>–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 xml:space="preserve"> 7</w:t>
            </w:r>
            <w:r w:rsidR="00BC4148">
              <w:rPr>
                <w:rFonts w:ascii="Times New Roman" w:hAnsi="Times New Roman" w:cs="Times New Roman"/>
                <w:lang w:eastAsia="ru-RU"/>
              </w:rPr>
              <w:t>5,5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 xml:space="preserve"> тыс. человек</w:t>
            </w:r>
          </w:p>
          <w:p w:rsidR="008E38B3" w:rsidRPr="00F10569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10569">
              <w:rPr>
                <w:rFonts w:ascii="Times New Roman" w:hAnsi="Times New Roman" w:cs="Times New Roman"/>
                <w:lang w:eastAsia="ru-RU"/>
              </w:rPr>
              <w:t>20</w:t>
            </w:r>
            <w:r w:rsidR="009855F4" w:rsidRPr="00F10569">
              <w:rPr>
                <w:rFonts w:ascii="Times New Roman" w:hAnsi="Times New Roman" w:cs="Times New Roman"/>
                <w:lang w:eastAsia="ru-RU"/>
              </w:rPr>
              <w:t>2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3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74,</w:t>
            </w:r>
            <w:r w:rsidR="00BC4148">
              <w:rPr>
                <w:rFonts w:ascii="Times New Roman" w:hAnsi="Times New Roman" w:cs="Times New Roman"/>
                <w:lang w:eastAsia="ru-RU"/>
              </w:rPr>
              <w:t>3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 xml:space="preserve"> - 7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5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>,</w:t>
            </w:r>
            <w:r w:rsidR="00BC4148">
              <w:rPr>
                <w:rFonts w:ascii="Times New Roman" w:hAnsi="Times New Roman" w:cs="Times New Roman"/>
                <w:lang w:eastAsia="ru-RU"/>
              </w:rPr>
              <w:t>0</w:t>
            </w:r>
            <w:r w:rsidR="005343A9" w:rsidRPr="00F10569">
              <w:rPr>
                <w:rFonts w:ascii="Times New Roman" w:hAnsi="Times New Roman" w:cs="Times New Roman"/>
                <w:lang w:eastAsia="ru-RU"/>
              </w:rPr>
              <w:t xml:space="preserve"> тыс. человек</w:t>
            </w:r>
          </w:p>
          <w:p w:rsidR="00F5081C" w:rsidRPr="00864FD1" w:rsidRDefault="00F5081C" w:rsidP="00BC4148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F10569">
              <w:rPr>
                <w:rFonts w:ascii="Times New Roman" w:hAnsi="Times New Roman" w:cs="Times New Roman"/>
                <w:lang w:eastAsia="ru-RU"/>
              </w:rPr>
              <w:t>202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4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год – 7</w:t>
            </w:r>
            <w:r w:rsidR="00BC4148">
              <w:rPr>
                <w:rFonts w:ascii="Times New Roman" w:hAnsi="Times New Roman" w:cs="Times New Roman"/>
                <w:lang w:eastAsia="ru-RU"/>
              </w:rPr>
              <w:t>3,5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C6AD9" w:rsidRPr="00F10569">
              <w:rPr>
                <w:rFonts w:ascii="Times New Roman" w:hAnsi="Times New Roman" w:cs="Times New Roman"/>
                <w:lang w:eastAsia="ru-RU"/>
              </w:rPr>
              <w:t>–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7</w:t>
            </w:r>
            <w:r w:rsidR="00F10569" w:rsidRPr="00F10569">
              <w:rPr>
                <w:rFonts w:ascii="Times New Roman" w:hAnsi="Times New Roman" w:cs="Times New Roman"/>
                <w:lang w:eastAsia="ru-RU"/>
              </w:rPr>
              <w:t>4,</w:t>
            </w:r>
            <w:r w:rsidR="00BC4148">
              <w:rPr>
                <w:rFonts w:ascii="Times New Roman" w:hAnsi="Times New Roman" w:cs="Times New Roman"/>
                <w:lang w:eastAsia="ru-RU"/>
              </w:rPr>
              <w:t>6</w:t>
            </w:r>
            <w:r w:rsidRPr="00F10569">
              <w:rPr>
                <w:rFonts w:ascii="Times New Roman" w:hAnsi="Times New Roman" w:cs="Times New Roman"/>
                <w:lang w:eastAsia="ru-RU"/>
              </w:rPr>
              <w:t xml:space="preserve"> тыс. человек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9855F4" w:rsidRPr="00FA1BF5" w:rsidRDefault="009855F4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 xml:space="preserve">Объем отгрузки товаров собственного производства, выполненных работ и услуг собственными силами </w:t>
            </w:r>
            <w:r w:rsidR="00856FDA" w:rsidRPr="00FA1BF5">
              <w:rPr>
                <w:rFonts w:ascii="Times New Roman" w:hAnsi="Times New Roman" w:cs="Times New Roman"/>
                <w:lang w:eastAsia="ru-RU"/>
              </w:rPr>
              <w:t xml:space="preserve">крупными и средними организациями </w:t>
            </w:r>
            <w:r w:rsidRPr="00FA1BF5">
              <w:rPr>
                <w:rFonts w:ascii="Times New Roman" w:hAnsi="Times New Roman" w:cs="Times New Roman"/>
                <w:lang w:eastAsia="ru-RU"/>
              </w:rPr>
              <w:t>по «чистым» видам деятельности:</w:t>
            </w:r>
          </w:p>
          <w:p w:rsidR="005343A9" w:rsidRPr="00FA1BF5" w:rsidRDefault="009855F4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EB1932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EB1932" w:rsidRPr="00FA1BF5">
              <w:rPr>
                <w:rFonts w:ascii="Times New Roman" w:hAnsi="Times New Roman" w:cs="Times New Roman"/>
                <w:lang w:eastAsia="ru-RU"/>
              </w:rPr>
              <w:t>46598,9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47301,4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9855F4" w:rsidRPr="00FA1BF5" w:rsidRDefault="009855F4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EB1932" w:rsidRPr="00FA1BF5">
              <w:rPr>
                <w:rFonts w:ascii="Times New Roman" w:hAnsi="Times New Roman" w:cs="Times New Roman"/>
                <w:lang w:eastAsia="ru-RU"/>
              </w:rPr>
              <w:t>3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48462,9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49979,4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202781" w:rsidRPr="00864FD1" w:rsidRDefault="00202781" w:rsidP="00FA1BF5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EB1932" w:rsidRPr="00FA1BF5">
              <w:rPr>
                <w:rFonts w:ascii="Times New Roman" w:hAnsi="Times New Roman" w:cs="Times New Roman"/>
                <w:lang w:eastAsia="ru-RU"/>
              </w:rPr>
              <w:t>4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50799,5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53171,1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8E38B3" w:rsidRPr="00FA1BF5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 xml:space="preserve">Индекс промышленного производства: </w:t>
            </w:r>
            <w:r w:rsidRPr="00FA1BF5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5343A9" w:rsidRPr="00FA1BF5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</w:t>
            </w:r>
            <w:r w:rsidR="00B4136B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99,5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% -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101,0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%</w:t>
            </w:r>
          </w:p>
          <w:p w:rsidR="008E38B3" w:rsidRPr="00FA1BF5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3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100,0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%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-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1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>0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>,5</w:t>
            </w:r>
            <w:r w:rsidR="005343A9" w:rsidRPr="00FA1BF5">
              <w:rPr>
                <w:rFonts w:ascii="Times New Roman" w:hAnsi="Times New Roman" w:cs="Times New Roman"/>
                <w:lang w:eastAsia="ru-RU"/>
              </w:rPr>
              <w:t>%</w:t>
            </w:r>
          </w:p>
          <w:p w:rsidR="00F53F53" w:rsidRPr="00864FD1" w:rsidRDefault="00F53F53" w:rsidP="00FA1BF5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4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100,5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% -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102,0</w:t>
            </w:r>
            <w:r w:rsidRPr="00FA1BF5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204389" w:rsidRPr="00FA1BF5" w:rsidRDefault="00204389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Оплата труда наемных работников:</w:t>
            </w:r>
          </w:p>
          <w:p w:rsidR="00887A0C" w:rsidRPr="00FA1BF5" w:rsidRDefault="00204389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 xml:space="preserve"> 9813,6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E60E9F" w:rsidRPr="00FA1BF5">
              <w:rPr>
                <w:rFonts w:ascii="Times New Roman" w:hAnsi="Times New Roman" w:cs="Times New Roman"/>
                <w:lang w:eastAsia="ru-RU"/>
              </w:rPr>
              <w:t>–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 xml:space="preserve"> 9951,6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204389" w:rsidRPr="00FA1BF5" w:rsidRDefault="00204389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3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10225,0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>–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10572,7</w:t>
            </w:r>
            <w:r w:rsidR="00887A0C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F53F53" w:rsidRPr="00864FD1" w:rsidRDefault="00FA1BF5" w:rsidP="00FA1BF5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2024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Pr="00FA1BF5">
              <w:rPr>
                <w:rFonts w:ascii="Times New Roman" w:hAnsi="Times New Roman" w:cs="Times New Roman"/>
                <w:lang w:eastAsia="ru-RU"/>
              </w:rPr>
              <w:t>10683,6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>–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A1BF5">
              <w:rPr>
                <w:rFonts w:ascii="Times New Roman" w:hAnsi="Times New Roman" w:cs="Times New Roman"/>
                <w:lang w:eastAsia="ru-RU"/>
              </w:rPr>
              <w:t>11253,3</w:t>
            </w:r>
            <w:r w:rsidR="00F53F53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887A0C" w:rsidRPr="00FA1BF5" w:rsidRDefault="00887A0C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Среднесписочная численность работников (без внешних совместителей):</w:t>
            </w:r>
          </w:p>
          <w:p w:rsidR="00887A0C" w:rsidRPr="00FA1BF5" w:rsidRDefault="00887A0C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1,6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– 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1,8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тыс. человек</w:t>
            </w:r>
          </w:p>
          <w:p w:rsidR="00887A0C" w:rsidRPr="00FA1BF5" w:rsidRDefault="00887A0C" w:rsidP="005616E0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3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1,3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– 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 xml:space="preserve">1,7 </w:t>
            </w:r>
            <w:r w:rsidRPr="00FA1BF5">
              <w:rPr>
                <w:rFonts w:ascii="Times New Roman" w:hAnsi="Times New Roman" w:cs="Times New Roman"/>
                <w:lang w:eastAsia="ru-RU"/>
              </w:rPr>
              <w:t>тыс. человек</w:t>
            </w:r>
          </w:p>
          <w:p w:rsidR="005616E0" w:rsidRPr="00864FD1" w:rsidRDefault="00FA1BF5" w:rsidP="00FA1BF5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2024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год – 2</w:t>
            </w:r>
            <w:r w:rsidRPr="00FA1BF5">
              <w:rPr>
                <w:rFonts w:ascii="Times New Roman" w:hAnsi="Times New Roman" w:cs="Times New Roman"/>
                <w:lang w:eastAsia="ru-RU"/>
              </w:rPr>
              <w:t>1,1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Pr="00FA1BF5">
              <w:rPr>
                <w:rFonts w:ascii="Times New Roman" w:hAnsi="Times New Roman" w:cs="Times New Roman"/>
                <w:lang w:eastAsia="ru-RU"/>
              </w:rPr>
              <w:t>21,7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тыс. человек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704642" w:rsidRPr="00FA1BF5" w:rsidRDefault="00704642" w:rsidP="0070464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Объем продукции сельского хозяйства:</w:t>
            </w:r>
          </w:p>
          <w:p w:rsidR="00704642" w:rsidRPr="00FA1BF5" w:rsidRDefault="00704642" w:rsidP="0070464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2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C1067C" w:rsidRPr="00FA1BF5">
              <w:rPr>
                <w:rFonts w:ascii="Times New Roman" w:hAnsi="Times New Roman" w:cs="Times New Roman"/>
                <w:lang w:eastAsia="ru-RU"/>
              </w:rPr>
              <w:t>7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46,0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C1067C" w:rsidRPr="00FA1BF5">
              <w:rPr>
                <w:rFonts w:ascii="Times New Roman" w:hAnsi="Times New Roman" w:cs="Times New Roman"/>
                <w:lang w:eastAsia="ru-RU"/>
              </w:rPr>
              <w:t>7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51,0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5616E0" w:rsidRPr="00FA1BF5" w:rsidRDefault="00704642" w:rsidP="00704642">
            <w:pPr>
              <w:rPr>
                <w:rFonts w:ascii="Times New Roman" w:hAnsi="Times New Roman" w:cs="Times New Roman"/>
                <w:lang w:eastAsia="ru-RU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3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год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775,6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FA1BF5" w:rsidRPr="00FA1BF5">
              <w:rPr>
                <w:rFonts w:ascii="Times New Roman" w:hAnsi="Times New Roman" w:cs="Times New Roman"/>
                <w:lang w:eastAsia="ru-RU"/>
              </w:rPr>
              <w:t>782,0</w:t>
            </w:r>
            <w:r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385F5B" w:rsidRPr="00864FD1" w:rsidRDefault="00FA1BF5" w:rsidP="00FA1BF5">
            <w:pPr>
              <w:rPr>
                <w:color w:val="FF0000"/>
              </w:rPr>
            </w:pPr>
            <w:r w:rsidRPr="00FA1BF5">
              <w:rPr>
                <w:rFonts w:ascii="Times New Roman" w:hAnsi="Times New Roman" w:cs="Times New Roman"/>
                <w:lang w:eastAsia="ru-RU"/>
              </w:rPr>
              <w:t>2024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год – 8</w:t>
            </w:r>
            <w:r w:rsidRPr="00FA1BF5">
              <w:rPr>
                <w:rFonts w:ascii="Times New Roman" w:hAnsi="Times New Roman" w:cs="Times New Roman"/>
                <w:lang w:eastAsia="ru-RU"/>
              </w:rPr>
              <w:t>09,4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Pr="00FA1BF5">
              <w:rPr>
                <w:rFonts w:ascii="Times New Roman" w:hAnsi="Times New Roman" w:cs="Times New Roman"/>
                <w:lang w:eastAsia="ru-RU"/>
              </w:rPr>
              <w:t>818,5</w:t>
            </w:r>
            <w:r w:rsidR="005616E0" w:rsidRPr="00FA1BF5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  <w:r w:rsidR="00791478" w:rsidRPr="00791478">
              <w:rPr>
                <w:rFonts w:ascii="Times New Roman" w:hAnsi="Times New Roman" w:cs="Times New Roman"/>
                <w:noProof/>
                <w:color w:val="FF0000"/>
                <w:lang w:eastAsia="ru-RU"/>
              </w:rPr>
              <w:pict>
                <v:line id="Прямая соединительная линия 12" o:spid="_x0000_s1032" style="position:absolute;flip:x;z-index:251697152;visibility:visible;mso-wrap-distance-top:-3e-5mm;mso-wrap-distance-bottom:-3e-5mm;mso-position-horizontal-relative:text;mso-position-vertical-relative:text" from="97.9pt,665.75pt" to="127.9pt,6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">
                  <v:stroke startarrow="block"/>
                </v:line>
              </w:pic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8E38B3" w:rsidRPr="007E2218" w:rsidRDefault="0020191A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E2218">
              <w:rPr>
                <w:rFonts w:ascii="Times New Roman" w:hAnsi="Times New Roman" w:cs="Times New Roman"/>
                <w:lang w:eastAsia="ru-RU"/>
              </w:rPr>
              <w:lastRenderedPageBreak/>
              <w:t>Объем и</w:t>
            </w:r>
            <w:r w:rsidR="008E38B3" w:rsidRPr="007E2218">
              <w:rPr>
                <w:rFonts w:ascii="Times New Roman" w:hAnsi="Times New Roman" w:cs="Times New Roman"/>
                <w:lang w:eastAsia="ru-RU"/>
              </w:rPr>
              <w:t>нвестиции в основной капитал</w:t>
            </w:r>
            <w:r w:rsidR="00BF76C9" w:rsidRPr="007E2218">
              <w:rPr>
                <w:rFonts w:ascii="Times New Roman" w:hAnsi="Times New Roman" w:cs="Times New Roman"/>
                <w:lang w:eastAsia="ru-RU"/>
              </w:rPr>
              <w:t xml:space="preserve"> за счет всех источников финансирования </w:t>
            </w:r>
            <w:r w:rsidR="008E38B3" w:rsidRPr="007E2218">
              <w:rPr>
                <w:rFonts w:ascii="Times New Roman" w:hAnsi="Times New Roman" w:cs="Times New Roman"/>
                <w:lang w:eastAsia="ru-RU"/>
              </w:rPr>
              <w:t>по крупным и средним организациям:</w:t>
            </w:r>
          </w:p>
          <w:p w:rsidR="00B913EF" w:rsidRPr="007E2218" w:rsidRDefault="008E38B3" w:rsidP="00B913EF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E2218">
              <w:rPr>
                <w:rFonts w:ascii="Times New Roman" w:hAnsi="Times New Roman" w:cs="Times New Roman"/>
                <w:lang w:eastAsia="ru-RU"/>
              </w:rPr>
              <w:t>20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>2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2</w:t>
            </w:r>
            <w:r w:rsidRPr="007E2218">
              <w:rPr>
                <w:rFonts w:ascii="Times New Roman" w:hAnsi="Times New Roman" w:cs="Times New Roman"/>
                <w:lang w:eastAsia="ru-RU"/>
              </w:rPr>
              <w:t xml:space="preserve"> год –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3317,4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3824,1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8E38B3" w:rsidRPr="007E2218" w:rsidRDefault="008E38B3" w:rsidP="00B913EF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E2218">
              <w:rPr>
                <w:rFonts w:ascii="Times New Roman" w:hAnsi="Times New Roman" w:cs="Times New Roman"/>
                <w:lang w:eastAsia="ru-RU"/>
              </w:rPr>
              <w:t>20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>2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3</w:t>
            </w:r>
            <w:r w:rsidRPr="007E2218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3499,8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C1067C" w:rsidRPr="007E2218">
              <w:rPr>
                <w:rFonts w:ascii="Times New Roman" w:hAnsi="Times New Roman" w:cs="Times New Roman"/>
                <w:lang w:eastAsia="ru-RU"/>
              </w:rPr>
              <w:t>4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074,8</w:t>
            </w:r>
            <w:r w:rsidR="00B913EF" w:rsidRPr="007E2218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CE5E91" w:rsidRPr="00864FD1" w:rsidRDefault="00CE5E91" w:rsidP="007E2218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7E2218">
              <w:rPr>
                <w:rFonts w:ascii="Times New Roman" w:hAnsi="Times New Roman" w:cs="Times New Roman"/>
                <w:lang w:eastAsia="ru-RU"/>
              </w:rPr>
              <w:t>202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4</w:t>
            </w:r>
            <w:r w:rsidRPr="007E2218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3858,5</w:t>
            </w:r>
            <w:r w:rsidRPr="007E2218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824552" w:rsidRPr="007E2218">
              <w:rPr>
                <w:rFonts w:ascii="Times New Roman" w:hAnsi="Times New Roman" w:cs="Times New Roman"/>
                <w:lang w:eastAsia="ru-RU"/>
              </w:rPr>
              <w:t>4</w:t>
            </w:r>
            <w:r w:rsidR="007E2218" w:rsidRPr="007E2218">
              <w:rPr>
                <w:rFonts w:ascii="Times New Roman" w:hAnsi="Times New Roman" w:cs="Times New Roman"/>
                <w:lang w:eastAsia="ru-RU"/>
              </w:rPr>
              <w:t>561,2</w:t>
            </w:r>
            <w:r w:rsidRPr="007E2218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445032" w:rsidRPr="00BE5776" w:rsidRDefault="00445032" w:rsidP="0044503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 xml:space="preserve">Среднегодовая </w:t>
            </w:r>
            <w:r w:rsidR="00856FDA" w:rsidRPr="00BE5776">
              <w:rPr>
                <w:rFonts w:ascii="Times New Roman" w:hAnsi="Times New Roman" w:cs="Times New Roman"/>
                <w:lang w:eastAsia="ru-RU"/>
              </w:rPr>
              <w:t>стоимость имущества, облагаемого налогом на имущество организаций</w:t>
            </w:r>
            <w:r w:rsidRPr="00BE5776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445032" w:rsidRPr="00BE5776" w:rsidRDefault="00445032" w:rsidP="0044503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202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2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6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599,0</w:t>
            </w:r>
            <w:r w:rsidR="00856FDA" w:rsidRPr="00BE5776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6</w:t>
            </w:r>
            <w:r w:rsidR="009735B9" w:rsidRPr="00BE5776">
              <w:rPr>
                <w:rFonts w:ascii="Times New Roman" w:hAnsi="Times New Roman" w:cs="Times New Roman"/>
                <w:lang w:eastAsia="ru-RU"/>
              </w:rPr>
              <w:t>697,4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445032" w:rsidRPr="00BE5776" w:rsidRDefault="00445032" w:rsidP="00856FDA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202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3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70</w:t>
            </w:r>
            <w:r w:rsidR="009735B9" w:rsidRPr="00BE5776">
              <w:rPr>
                <w:rFonts w:ascii="Times New Roman" w:hAnsi="Times New Roman" w:cs="Times New Roman"/>
                <w:lang w:eastAsia="ru-RU"/>
              </w:rPr>
              <w:t>87,4</w:t>
            </w:r>
            <w:r w:rsidR="00856FDA" w:rsidRPr="00BE5776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855AB3" w:rsidRPr="00BE5776">
              <w:rPr>
                <w:rFonts w:ascii="Times New Roman" w:hAnsi="Times New Roman" w:cs="Times New Roman"/>
                <w:lang w:eastAsia="ru-RU"/>
              </w:rPr>
              <w:t>7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2</w:t>
            </w:r>
            <w:r w:rsidR="009735B9" w:rsidRPr="00BE5776">
              <w:rPr>
                <w:rFonts w:ascii="Times New Roman" w:hAnsi="Times New Roman" w:cs="Times New Roman"/>
                <w:lang w:eastAsia="ru-RU"/>
              </w:rPr>
              <w:t>86,8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556691" w:rsidRPr="00BE5776" w:rsidRDefault="00556691" w:rsidP="009735B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202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4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7</w:t>
            </w:r>
            <w:r w:rsidR="009735B9" w:rsidRPr="00BE5776">
              <w:rPr>
                <w:rFonts w:ascii="Times New Roman" w:hAnsi="Times New Roman" w:cs="Times New Roman"/>
                <w:lang w:eastAsia="ru-RU"/>
              </w:rPr>
              <w:t>647,3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855AB3" w:rsidRPr="00BE5776">
              <w:rPr>
                <w:rFonts w:ascii="Times New Roman" w:hAnsi="Times New Roman" w:cs="Times New Roman"/>
                <w:lang w:eastAsia="ru-RU"/>
              </w:rPr>
              <w:t>7</w:t>
            </w:r>
            <w:r w:rsidR="00C1067C" w:rsidRPr="00BE5776">
              <w:rPr>
                <w:rFonts w:ascii="Times New Roman" w:hAnsi="Times New Roman" w:cs="Times New Roman"/>
                <w:lang w:eastAsia="ru-RU"/>
              </w:rPr>
              <w:t>9</w:t>
            </w:r>
            <w:r w:rsidR="009735B9" w:rsidRPr="00BE5776">
              <w:rPr>
                <w:rFonts w:ascii="Times New Roman" w:hAnsi="Times New Roman" w:cs="Times New Roman"/>
                <w:lang w:eastAsia="ru-RU"/>
              </w:rPr>
              <w:t>06,2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</w:tc>
      </w:tr>
      <w:tr w:rsidR="00686AB3" w:rsidRPr="00686AB3" w:rsidTr="008E38B3">
        <w:tc>
          <w:tcPr>
            <w:tcW w:w="8396" w:type="dxa"/>
            <w:shd w:val="clear" w:color="auto" w:fill="auto"/>
          </w:tcPr>
          <w:p w:rsidR="008E38B3" w:rsidRPr="00BE5776" w:rsidRDefault="008E38B3" w:rsidP="00BF76C9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Оборот розничной торговли по крупным и средним организациям:</w:t>
            </w:r>
          </w:p>
          <w:p w:rsidR="00445032" w:rsidRPr="00BE5776" w:rsidRDefault="008E38B3" w:rsidP="0044503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>2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2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год –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>6005,6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>6029,3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8E38B3" w:rsidRPr="00BE5776" w:rsidRDefault="008E38B3" w:rsidP="00445032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>2</w:t>
            </w:r>
            <w:r w:rsidR="00595F72" w:rsidRPr="00BE5776">
              <w:rPr>
                <w:rFonts w:ascii="Times New Roman" w:hAnsi="Times New Roman" w:cs="Times New Roman"/>
                <w:lang w:eastAsia="ru-RU"/>
              </w:rPr>
              <w:t>3</w:t>
            </w:r>
            <w:r w:rsidRPr="00BE5776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 xml:space="preserve">6376,7 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>6427,3</w:t>
            </w:r>
            <w:r w:rsidR="00445032"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  <w:p w:rsidR="00855AB3" w:rsidRPr="00BE5776" w:rsidRDefault="00595F72" w:rsidP="00BE5776">
            <w:pPr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E5776">
              <w:rPr>
                <w:rFonts w:ascii="Times New Roman" w:hAnsi="Times New Roman" w:cs="Times New Roman"/>
                <w:lang w:eastAsia="ru-RU"/>
              </w:rPr>
              <w:t>2024</w:t>
            </w:r>
            <w:r w:rsidR="00855AB3" w:rsidRPr="00BE5776">
              <w:rPr>
                <w:rFonts w:ascii="Times New Roman" w:hAnsi="Times New Roman" w:cs="Times New Roman"/>
                <w:lang w:eastAsia="ru-RU"/>
              </w:rPr>
              <w:t xml:space="preserve"> год – </w:t>
            </w:r>
            <w:r w:rsidR="00336FBE" w:rsidRPr="00BE5776">
              <w:rPr>
                <w:rFonts w:ascii="Times New Roman" w:hAnsi="Times New Roman" w:cs="Times New Roman"/>
                <w:lang w:eastAsia="ru-RU"/>
              </w:rPr>
              <w:t>6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>771,0</w:t>
            </w:r>
            <w:r w:rsidR="00336FBE" w:rsidRPr="00BE5776">
              <w:rPr>
                <w:rFonts w:ascii="Times New Roman" w:hAnsi="Times New Roman" w:cs="Times New Roman"/>
                <w:lang w:eastAsia="ru-RU"/>
              </w:rPr>
              <w:t xml:space="preserve"> – 6</w:t>
            </w:r>
            <w:r w:rsidR="00BE5776" w:rsidRPr="00BE5776">
              <w:rPr>
                <w:rFonts w:ascii="Times New Roman" w:hAnsi="Times New Roman" w:cs="Times New Roman"/>
                <w:lang w:eastAsia="ru-RU"/>
              </w:rPr>
              <w:t>851,5</w:t>
            </w:r>
            <w:r w:rsidR="00855AB3" w:rsidRPr="00BE5776">
              <w:rPr>
                <w:rFonts w:ascii="Times New Roman" w:hAnsi="Times New Roman" w:cs="Times New Roman"/>
                <w:lang w:eastAsia="ru-RU"/>
              </w:rPr>
              <w:t xml:space="preserve"> млн. рублей</w:t>
            </w:r>
          </w:p>
        </w:tc>
      </w:tr>
    </w:tbl>
    <w:p w:rsidR="00176BDD" w:rsidRPr="00686AB3" w:rsidRDefault="00791478" w:rsidP="00B66EF7">
      <w:pPr>
        <w:pStyle w:val="Default"/>
        <w:spacing w:line="360" w:lineRule="auto"/>
        <w:ind w:firstLine="709"/>
        <w:jc w:val="both"/>
        <w:rPr>
          <w:color w:val="FF0000"/>
          <w:szCs w:val="28"/>
        </w:rPr>
      </w:pPr>
      <w:r w:rsidRPr="00791478">
        <w:rPr>
          <w:noProof/>
          <w:color w:val="FF0000"/>
          <w:lang w:eastAsia="ru-RU"/>
        </w:rPr>
        <w:pict>
          <v:line id="Прямая соединительная линия 74" o:spid="_x0000_s1031" style="position:absolute;left:0;text-align:left;z-index:251672576;visibility:visible;mso-wrap-distance-left:3.17497mm;mso-wrap-distance-right:3.17497mm;mso-position-horizontal-relative:text;mso-position-vertical-relative:text" from="17.5pt,-273.2pt" to="18.15pt,-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"/>
        </w:pict>
      </w:r>
      <w:r w:rsidRPr="00791478">
        <w:rPr>
          <w:noProof/>
          <w:color w:val="FF0000"/>
          <w:lang w:eastAsia="ru-RU"/>
        </w:rPr>
        <w:pict>
          <v:line id="Прямая соединительная линия 14" o:spid="_x0000_s1030" style="position:absolute;left:0;text-align:left;flip:x;z-index:251701248;visibility:visible;mso-wrap-distance-top:-3e-5mm;mso-wrap-distance-bottom:-3e-5mm;mso-position-horizontal-relative:text;mso-position-vertical-relative:text" from="17.4pt,-216.05pt" to="47.4pt,-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">
            <v:stroke startarrow="block"/>
          </v:line>
        </w:pict>
      </w:r>
      <w:r w:rsidRPr="00791478">
        <w:rPr>
          <w:noProof/>
          <w:color w:val="FF0000"/>
          <w:lang w:eastAsia="ru-RU"/>
        </w:rPr>
        <w:pict>
          <v:line id="Прямая соединительная линия 13" o:spid="_x0000_s1029" style="position:absolute;left:0;text-align:left;flip:x;z-index:251699200;visibility:visible;mso-wrap-distance-top:-3e-5mm;mso-wrap-distance-bottom:-3e-5mm;mso-position-horizontal-relative:text;mso-position-vertical-relative:text" from="17.35pt,-38pt" to="47.35pt,-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">
            <v:stroke startarrow="block"/>
          </v:line>
        </w:pict>
      </w:r>
      <w:r w:rsidRPr="00791478">
        <w:rPr>
          <w:noProof/>
          <w:color w:val="FF0000"/>
          <w:lang w:eastAsia="ru-RU"/>
        </w:rPr>
        <w:pict>
          <v:line id="Прямая соединительная линия 11" o:spid="_x0000_s1028" style="position:absolute;left:0;text-align:left;flip:x;z-index:251695104;visibility:visible;mso-wrap-distance-top:-3e-5mm;mso-wrap-distance-bottom:-3e-5mm;mso-position-horizontal-relative:text;mso-position-vertical-relative:text" from="18pt,-119pt" to="48pt,-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">
            <v:stroke startarrow="block"/>
          </v:line>
        </w:pict>
      </w:r>
      <w:r w:rsidRPr="00791478">
        <w:rPr>
          <w:noProof/>
          <w:color w:val="FF0000"/>
          <w:lang w:eastAsia="ru-RU"/>
        </w:rPr>
        <w:pict>
          <v:line id="Прямая соединительная линия 10" o:spid="_x0000_s1027" style="position:absolute;left:0;text-align:left;flip:x;z-index:251691008;visibility:visible;mso-wrap-distance-top:-3e-5mm;mso-wrap-distance-bottom:-3e-5mm;mso-position-horizontal-relative:text;mso-position-vertical-relative:text" from="17.6pt,-453.95pt" to="47.6pt,-4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">
            <v:stroke startarrow="block"/>
          </v:line>
        </w:pict>
      </w:r>
    </w:p>
    <w:p w:rsidR="00E462D9" w:rsidRPr="00686AB3" w:rsidRDefault="00E462D9" w:rsidP="00B66EF7">
      <w:pPr>
        <w:pStyle w:val="Default"/>
        <w:spacing w:line="360" w:lineRule="auto"/>
        <w:ind w:firstLine="709"/>
        <w:jc w:val="both"/>
        <w:rPr>
          <w:color w:val="FF0000"/>
          <w:szCs w:val="28"/>
        </w:rPr>
      </w:pPr>
    </w:p>
    <w:p w:rsidR="00F308EA" w:rsidRPr="00FD2C07" w:rsidRDefault="00F308E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D2C07">
        <w:rPr>
          <w:rFonts w:ascii="Times New Roman" w:hAnsi="Times New Roman" w:cs="Times New Roman"/>
          <w:b/>
          <w:sz w:val="24"/>
          <w:szCs w:val="28"/>
        </w:rPr>
        <w:t>Демографические показатели</w:t>
      </w:r>
    </w:p>
    <w:p w:rsidR="00FD2C07" w:rsidRPr="00DA165B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932">
        <w:rPr>
          <w:rFonts w:ascii="Times New Roman" w:hAnsi="Times New Roman" w:cs="Times New Roman"/>
          <w:sz w:val="24"/>
          <w:szCs w:val="28"/>
        </w:rPr>
        <w:t xml:space="preserve">В демографической обстановке Саткинского муниципального района по-прежнему </w:t>
      </w:r>
      <w:r w:rsidRPr="00DA165B">
        <w:rPr>
          <w:rFonts w:ascii="Times New Roman" w:hAnsi="Times New Roman" w:cs="Times New Roman"/>
          <w:sz w:val="24"/>
          <w:szCs w:val="28"/>
        </w:rPr>
        <w:t>наблюдается тенденция сокращения численности постоянного населения.</w:t>
      </w:r>
      <w:r w:rsidRPr="00DA165B">
        <w:rPr>
          <w:rFonts w:ascii="Times New Roman" w:hAnsi="Times New Roman" w:cs="Times New Roman"/>
          <w:sz w:val="24"/>
          <w:szCs w:val="25"/>
        </w:rPr>
        <w:t xml:space="preserve"> </w:t>
      </w:r>
      <w:r w:rsidRPr="00DA165B">
        <w:rPr>
          <w:rFonts w:ascii="Times New Roman" w:hAnsi="Times New Roman" w:cs="Times New Roman"/>
          <w:sz w:val="24"/>
          <w:szCs w:val="24"/>
        </w:rPr>
        <w:t>Среднегодовая численность постоянного населения Саткинского муниципального района за 20</w:t>
      </w:r>
      <w:r w:rsidR="00DA165B" w:rsidRPr="00DA165B">
        <w:rPr>
          <w:rFonts w:ascii="Times New Roman" w:hAnsi="Times New Roman" w:cs="Times New Roman"/>
          <w:sz w:val="24"/>
          <w:szCs w:val="24"/>
        </w:rPr>
        <w:t>20</w:t>
      </w:r>
      <w:r w:rsidRPr="00DA165B">
        <w:rPr>
          <w:rFonts w:ascii="Times New Roman" w:hAnsi="Times New Roman" w:cs="Times New Roman"/>
          <w:sz w:val="24"/>
          <w:szCs w:val="24"/>
        </w:rPr>
        <w:t xml:space="preserve"> год, по отношению к 201</w:t>
      </w:r>
      <w:r w:rsidR="00DA165B" w:rsidRPr="00DA165B">
        <w:rPr>
          <w:rFonts w:ascii="Times New Roman" w:hAnsi="Times New Roman" w:cs="Times New Roman"/>
          <w:sz w:val="24"/>
          <w:szCs w:val="24"/>
        </w:rPr>
        <w:t>9</w:t>
      </w:r>
      <w:r w:rsidRPr="00DA165B">
        <w:rPr>
          <w:rFonts w:ascii="Times New Roman" w:hAnsi="Times New Roman" w:cs="Times New Roman"/>
          <w:sz w:val="24"/>
          <w:szCs w:val="24"/>
        </w:rPr>
        <w:t xml:space="preserve"> году, сократилась на 0,95 тыс. человек или на 1,2 % и составила 7</w:t>
      </w:r>
      <w:r w:rsidR="00DA165B" w:rsidRPr="00DA165B">
        <w:rPr>
          <w:rFonts w:ascii="Times New Roman" w:hAnsi="Times New Roman" w:cs="Times New Roman"/>
          <w:sz w:val="24"/>
          <w:szCs w:val="24"/>
        </w:rPr>
        <w:t>7,5</w:t>
      </w:r>
      <w:r w:rsidRPr="00DA165B">
        <w:rPr>
          <w:rFonts w:ascii="Times New Roman" w:hAnsi="Times New Roman" w:cs="Times New Roman"/>
          <w:sz w:val="24"/>
          <w:szCs w:val="24"/>
        </w:rPr>
        <w:t xml:space="preserve"> тыс. человек.  </w:t>
      </w:r>
    </w:p>
    <w:p w:rsidR="00FD2C07" w:rsidRPr="003A537D" w:rsidRDefault="00DA165B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165B">
        <w:rPr>
          <w:rFonts w:ascii="Times New Roman" w:hAnsi="Times New Roman" w:cs="Times New Roman"/>
          <w:sz w:val="24"/>
          <w:szCs w:val="24"/>
        </w:rPr>
        <w:t>По состоянию на 01.01.2021</w:t>
      </w:r>
      <w:r w:rsidR="00FD2C07" w:rsidRPr="00DA165B">
        <w:rPr>
          <w:rFonts w:ascii="Times New Roman" w:hAnsi="Times New Roman" w:cs="Times New Roman"/>
          <w:sz w:val="24"/>
          <w:szCs w:val="24"/>
        </w:rPr>
        <w:t xml:space="preserve"> по данным Территориального органа Федеральной службы государственной статистики по Челябинской области, численность постоянного </w:t>
      </w:r>
      <w:r w:rsidR="00FD2C07" w:rsidRPr="003A537D">
        <w:rPr>
          <w:rFonts w:ascii="Times New Roman" w:hAnsi="Times New Roman" w:cs="Times New Roman"/>
          <w:sz w:val="24"/>
          <w:szCs w:val="24"/>
        </w:rPr>
        <w:t xml:space="preserve">населения составила </w:t>
      </w:r>
      <w:r w:rsidRPr="003A537D">
        <w:rPr>
          <w:rFonts w:ascii="Times New Roman" w:hAnsi="Times New Roman" w:cs="Times New Roman"/>
          <w:sz w:val="24"/>
          <w:szCs w:val="24"/>
        </w:rPr>
        <w:t>76,93</w:t>
      </w:r>
      <w:r w:rsidR="00FD2C07" w:rsidRPr="003A537D">
        <w:rPr>
          <w:rFonts w:ascii="Times New Roman" w:hAnsi="Times New Roman" w:cs="Times New Roman"/>
          <w:sz w:val="24"/>
          <w:szCs w:val="24"/>
        </w:rPr>
        <w:t xml:space="preserve"> тыс. человек. По отношению к предыдущему году она сократилась на </w:t>
      </w:r>
      <w:r w:rsidR="003A537D" w:rsidRPr="003A537D">
        <w:rPr>
          <w:rFonts w:ascii="Times New Roman" w:hAnsi="Times New Roman" w:cs="Times New Roman"/>
          <w:sz w:val="24"/>
          <w:szCs w:val="24"/>
        </w:rPr>
        <w:t>1,06</w:t>
      </w:r>
      <w:r w:rsidR="00FD2C07" w:rsidRPr="003A537D">
        <w:rPr>
          <w:rFonts w:ascii="Times New Roman" w:hAnsi="Times New Roman" w:cs="Times New Roman"/>
          <w:sz w:val="24"/>
          <w:szCs w:val="24"/>
        </w:rPr>
        <w:t xml:space="preserve"> человек или на 1,</w:t>
      </w:r>
      <w:r w:rsidR="003A537D" w:rsidRPr="003A537D">
        <w:rPr>
          <w:rFonts w:ascii="Times New Roman" w:hAnsi="Times New Roman" w:cs="Times New Roman"/>
          <w:sz w:val="24"/>
          <w:szCs w:val="24"/>
        </w:rPr>
        <w:t>4</w:t>
      </w:r>
      <w:r w:rsidR="00FD2C07" w:rsidRPr="003A537D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FD2C07" w:rsidRPr="003A537D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37D">
        <w:rPr>
          <w:rFonts w:ascii="Times New Roman" w:hAnsi="Times New Roman" w:cs="Times New Roman"/>
          <w:sz w:val="24"/>
          <w:szCs w:val="24"/>
        </w:rPr>
        <w:t>Из общей численности постоянного населения удельный вес городского населения составляет 93 %, сельского – 7 %. Преобладающая часть горожан проживают в Саткинском (5</w:t>
      </w:r>
      <w:r w:rsidR="003A537D" w:rsidRPr="003A537D">
        <w:rPr>
          <w:rFonts w:ascii="Times New Roman" w:hAnsi="Times New Roman" w:cs="Times New Roman"/>
          <w:sz w:val="24"/>
          <w:szCs w:val="24"/>
        </w:rPr>
        <w:t>5,0</w:t>
      </w:r>
      <w:r w:rsidRPr="003A537D">
        <w:rPr>
          <w:rFonts w:ascii="Times New Roman" w:hAnsi="Times New Roman" w:cs="Times New Roman"/>
          <w:sz w:val="24"/>
          <w:szCs w:val="24"/>
        </w:rPr>
        <w:t xml:space="preserve">%) и в </w:t>
      </w:r>
      <w:proofErr w:type="spellStart"/>
      <w:r w:rsidRPr="003A537D">
        <w:rPr>
          <w:rFonts w:ascii="Times New Roman" w:hAnsi="Times New Roman" w:cs="Times New Roman"/>
          <w:sz w:val="24"/>
          <w:szCs w:val="24"/>
        </w:rPr>
        <w:t>Бакальском</w:t>
      </w:r>
      <w:proofErr w:type="spellEnd"/>
      <w:r w:rsidRPr="003A537D">
        <w:rPr>
          <w:rFonts w:ascii="Times New Roman" w:hAnsi="Times New Roman" w:cs="Times New Roman"/>
          <w:sz w:val="24"/>
          <w:szCs w:val="24"/>
        </w:rPr>
        <w:t xml:space="preserve"> (24,</w:t>
      </w:r>
      <w:r w:rsidR="003A537D" w:rsidRPr="003A537D">
        <w:rPr>
          <w:rFonts w:ascii="Times New Roman" w:hAnsi="Times New Roman" w:cs="Times New Roman"/>
          <w:sz w:val="24"/>
          <w:szCs w:val="24"/>
        </w:rPr>
        <w:t>1</w:t>
      </w:r>
      <w:r w:rsidRPr="003A537D">
        <w:rPr>
          <w:rFonts w:ascii="Times New Roman" w:hAnsi="Times New Roman" w:cs="Times New Roman"/>
          <w:sz w:val="24"/>
          <w:szCs w:val="24"/>
        </w:rPr>
        <w:t xml:space="preserve">%) городских поселениях. </w:t>
      </w:r>
    </w:p>
    <w:p w:rsidR="00FD2C07" w:rsidRPr="003A537D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37D">
        <w:rPr>
          <w:rFonts w:ascii="Times New Roman" w:hAnsi="Times New Roman" w:cs="Times New Roman"/>
          <w:sz w:val="24"/>
          <w:szCs w:val="24"/>
        </w:rPr>
        <w:t xml:space="preserve">Доля мужского населения, в общей численности населения района, составила 46,2 %, доля женского населения – 53,8 %. </w:t>
      </w:r>
    </w:p>
    <w:p w:rsidR="00FD2C07" w:rsidRPr="00BC4148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37D">
        <w:rPr>
          <w:rFonts w:ascii="Times New Roman" w:hAnsi="Times New Roman" w:cs="Times New Roman"/>
          <w:sz w:val="24"/>
          <w:szCs w:val="24"/>
        </w:rPr>
        <w:t>В течение 20</w:t>
      </w:r>
      <w:r w:rsidR="003A537D" w:rsidRPr="003A537D">
        <w:rPr>
          <w:rFonts w:ascii="Times New Roman" w:hAnsi="Times New Roman" w:cs="Times New Roman"/>
          <w:sz w:val="24"/>
          <w:szCs w:val="24"/>
        </w:rPr>
        <w:t>20</w:t>
      </w:r>
      <w:r w:rsidRPr="003A537D">
        <w:rPr>
          <w:rFonts w:ascii="Times New Roman" w:hAnsi="Times New Roman" w:cs="Times New Roman"/>
          <w:sz w:val="24"/>
          <w:szCs w:val="24"/>
        </w:rPr>
        <w:t xml:space="preserve"> года в районе на свет появилось 635 малышей, к уровню прошлого года – </w:t>
      </w:r>
      <w:r w:rsidR="003A537D" w:rsidRPr="003A537D">
        <w:rPr>
          <w:rFonts w:ascii="Times New Roman" w:hAnsi="Times New Roman" w:cs="Times New Roman"/>
          <w:sz w:val="24"/>
          <w:szCs w:val="24"/>
        </w:rPr>
        <w:t>осталось на том же уровне.</w:t>
      </w:r>
      <w:r w:rsidRPr="003A537D">
        <w:rPr>
          <w:rFonts w:ascii="Times New Roman" w:hAnsi="Times New Roman" w:cs="Times New Roman"/>
          <w:sz w:val="24"/>
          <w:szCs w:val="24"/>
        </w:rPr>
        <w:t xml:space="preserve"> Количество умерших в 20</w:t>
      </w:r>
      <w:r w:rsidR="003A537D" w:rsidRPr="003A537D">
        <w:rPr>
          <w:rFonts w:ascii="Times New Roman" w:hAnsi="Times New Roman" w:cs="Times New Roman"/>
          <w:sz w:val="24"/>
          <w:szCs w:val="24"/>
        </w:rPr>
        <w:t>20</w:t>
      </w:r>
      <w:r w:rsidRPr="003A537D">
        <w:rPr>
          <w:rFonts w:ascii="Times New Roman" w:hAnsi="Times New Roman" w:cs="Times New Roman"/>
          <w:sz w:val="24"/>
          <w:szCs w:val="24"/>
        </w:rPr>
        <w:t xml:space="preserve"> году, к уровню 201</w:t>
      </w:r>
      <w:r w:rsidR="003A537D" w:rsidRPr="003A537D">
        <w:rPr>
          <w:rFonts w:ascii="Times New Roman" w:hAnsi="Times New Roman" w:cs="Times New Roman"/>
          <w:sz w:val="24"/>
          <w:szCs w:val="24"/>
        </w:rPr>
        <w:t>9</w:t>
      </w:r>
      <w:r w:rsidRPr="003A537D">
        <w:rPr>
          <w:rFonts w:ascii="Times New Roman" w:hAnsi="Times New Roman" w:cs="Times New Roman"/>
          <w:sz w:val="24"/>
          <w:szCs w:val="24"/>
        </w:rPr>
        <w:t xml:space="preserve"> года, увеличилось на </w:t>
      </w:r>
      <w:r w:rsidR="003A537D" w:rsidRPr="003A537D">
        <w:rPr>
          <w:rFonts w:ascii="Times New Roman" w:hAnsi="Times New Roman" w:cs="Times New Roman"/>
          <w:sz w:val="24"/>
          <w:szCs w:val="24"/>
        </w:rPr>
        <w:t>182</w:t>
      </w:r>
      <w:r w:rsidRPr="003A537D">
        <w:rPr>
          <w:rFonts w:ascii="Times New Roman" w:hAnsi="Times New Roman" w:cs="Times New Roman"/>
          <w:sz w:val="24"/>
          <w:szCs w:val="24"/>
        </w:rPr>
        <w:t xml:space="preserve"> случаев или на </w:t>
      </w:r>
      <w:r w:rsidR="003A537D" w:rsidRPr="003A537D">
        <w:rPr>
          <w:rFonts w:ascii="Times New Roman" w:hAnsi="Times New Roman" w:cs="Times New Roman"/>
          <w:sz w:val="24"/>
          <w:szCs w:val="24"/>
        </w:rPr>
        <w:t>14,9</w:t>
      </w:r>
      <w:r w:rsidRPr="003A537D">
        <w:rPr>
          <w:rFonts w:ascii="Times New Roman" w:hAnsi="Times New Roman" w:cs="Times New Roman"/>
          <w:sz w:val="24"/>
          <w:szCs w:val="24"/>
        </w:rPr>
        <w:t xml:space="preserve">% и составило 1 </w:t>
      </w:r>
      <w:r w:rsidR="003A537D" w:rsidRPr="003A537D">
        <w:rPr>
          <w:rFonts w:ascii="Times New Roman" w:hAnsi="Times New Roman" w:cs="Times New Roman"/>
          <w:sz w:val="24"/>
          <w:szCs w:val="24"/>
        </w:rPr>
        <w:t>402</w:t>
      </w:r>
      <w:r w:rsidRPr="003A537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A537D" w:rsidRPr="003A537D">
        <w:rPr>
          <w:rFonts w:ascii="Times New Roman" w:hAnsi="Times New Roman" w:cs="Times New Roman"/>
          <w:sz w:val="24"/>
          <w:szCs w:val="24"/>
        </w:rPr>
        <w:t>а</w:t>
      </w:r>
      <w:r w:rsidRPr="003A537D">
        <w:rPr>
          <w:rFonts w:ascii="Times New Roman" w:hAnsi="Times New Roman" w:cs="Times New Roman"/>
          <w:sz w:val="24"/>
          <w:szCs w:val="24"/>
        </w:rPr>
        <w:t xml:space="preserve">. Таким образом, за счет естественной убыли население района сократилось на </w:t>
      </w:r>
      <w:r w:rsidR="003A537D" w:rsidRPr="003A537D">
        <w:rPr>
          <w:rFonts w:ascii="Times New Roman" w:hAnsi="Times New Roman" w:cs="Times New Roman"/>
          <w:sz w:val="24"/>
          <w:szCs w:val="24"/>
        </w:rPr>
        <w:t>767</w:t>
      </w:r>
      <w:r w:rsidRPr="003A537D">
        <w:rPr>
          <w:rFonts w:ascii="Times New Roman" w:hAnsi="Times New Roman" w:cs="Times New Roman"/>
          <w:sz w:val="24"/>
          <w:szCs w:val="24"/>
        </w:rPr>
        <w:t xml:space="preserve"> человек. Принимая во </w:t>
      </w:r>
      <w:r w:rsidRPr="003A537D">
        <w:rPr>
          <w:rFonts w:ascii="Times New Roman" w:hAnsi="Times New Roman" w:cs="Times New Roman"/>
          <w:sz w:val="24"/>
          <w:szCs w:val="24"/>
        </w:rPr>
        <w:lastRenderedPageBreak/>
        <w:t xml:space="preserve">внимание отрицательную динамику воспроизводства населения на протяжении ряда лет, а также учитывая ситуацию в первом полугодии текущего года, ожидается, что естественная </w:t>
      </w:r>
      <w:r w:rsidRPr="00BC4148">
        <w:rPr>
          <w:rFonts w:ascii="Times New Roman" w:hAnsi="Times New Roman" w:cs="Times New Roman"/>
          <w:sz w:val="24"/>
          <w:szCs w:val="24"/>
        </w:rPr>
        <w:t>убыль населения по итогам 202</w:t>
      </w:r>
      <w:r w:rsidR="003A537D" w:rsidRPr="00BC4148">
        <w:rPr>
          <w:rFonts w:ascii="Times New Roman" w:hAnsi="Times New Roman" w:cs="Times New Roman"/>
          <w:sz w:val="24"/>
          <w:szCs w:val="24"/>
        </w:rPr>
        <w:t>1</w:t>
      </w:r>
      <w:r w:rsidRPr="00BC4148">
        <w:rPr>
          <w:rFonts w:ascii="Times New Roman" w:hAnsi="Times New Roman" w:cs="Times New Roman"/>
          <w:sz w:val="24"/>
          <w:szCs w:val="24"/>
        </w:rPr>
        <w:t xml:space="preserve"> года составит </w:t>
      </w:r>
      <w:r w:rsidR="00BC4148" w:rsidRPr="00BC4148">
        <w:rPr>
          <w:rFonts w:ascii="Times New Roman" w:hAnsi="Times New Roman" w:cs="Times New Roman"/>
          <w:sz w:val="24"/>
          <w:szCs w:val="24"/>
        </w:rPr>
        <w:t>78</w:t>
      </w:r>
      <w:r w:rsidR="003A537D" w:rsidRPr="00BC4148">
        <w:rPr>
          <w:rFonts w:ascii="Times New Roman" w:hAnsi="Times New Roman" w:cs="Times New Roman"/>
          <w:sz w:val="24"/>
          <w:szCs w:val="24"/>
        </w:rPr>
        <w:t>0</w:t>
      </w:r>
      <w:r w:rsidRPr="00BC4148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D2C07" w:rsidRPr="00864FD1" w:rsidRDefault="00797C5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январь-декабрь 2020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года количество прибывших составило </w:t>
      </w:r>
      <w:r w:rsidR="00C45DFC" w:rsidRPr="00C45DFC">
        <w:rPr>
          <w:rFonts w:ascii="Times New Roman" w:hAnsi="Times New Roman" w:cs="Times New Roman"/>
          <w:sz w:val="24"/>
          <w:szCs w:val="24"/>
        </w:rPr>
        <w:t>1 827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человек,</w:t>
      </w:r>
      <w:r w:rsidR="00A806CA">
        <w:rPr>
          <w:rFonts w:ascii="Times New Roman" w:hAnsi="Times New Roman" w:cs="Times New Roman"/>
          <w:sz w:val="24"/>
          <w:szCs w:val="24"/>
        </w:rPr>
        <w:t xml:space="preserve"> </w:t>
      </w:r>
      <w:r w:rsidR="00FD2C07" w:rsidRPr="00C45DFC">
        <w:rPr>
          <w:rFonts w:ascii="Times New Roman" w:hAnsi="Times New Roman" w:cs="Times New Roman"/>
          <w:sz w:val="24"/>
          <w:szCs w:val="24"/>
        </w:rPr>
        <w:t>по сравнению с соответствующим периодом прошлого года произо</w:t>
      </w:r>
      <w:r w:rsidR="00C45DFC" w:rsidRPr="00C45DFC">
        <w:rPr>
          <w:rFonts w:ascii="Times New Roman" w:hAnsi="Times New Roman" w:cs="Times New Roman"/>
          <w:sz w:val="24"/>
          <w:szCs w:val="24"/>
        </w:rPr>
        <w:t>шло снижение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                              на </w:t>
      </w:r>
      <w:r w:rsidR="00C45DFC" w:rsidRPr="00C45DFC">
        <w:rPr>
          <w:rFonts w:ascii="Times New Roman" w:hAnsi="Times New Roman" w:cs="Times New Roman"/>
          <w:sz w:val="24"/>
          <w:szCs w:val="24"/>
        </w:rPr>
        <w:t>477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человек или на </w:t>
      </w:r>
      <w:r w:rsidR="00C45DFC" w:rsidRPr="00C45DFC">
        <w:rPr>
          <w:rFonts w:ascii="Times New Roman" w:hAnsi="Times New Roman" w:cs="Times New Roman"/>
          <w:sz w:val="24"/>
          <w:szCs w:val="24"/>
        </w:rPr>
        <w:t>26,1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%. Количество выбывших составило 2 </w:t>
      </w:r>
      <w:r w:rsidR="00C45DFC" w:rsidRPr="00C45DFC">
        <w:rPr>
          <w:rFonts w:ascii="Times New Roman" w:hAnsi="Times New Roman" w:cs="Times New Roman"/>
          <w:sz w:val="24"/>
          <w:szCs w:val="24"/>
        </w:rPr>
        <w:t>119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человек, что больше, чем за аналогичный период прошлого года, на </w:t>
      </w:r>
      <w:r w:rsidR="00C45DFC" w:rsidRPr="00C45DFC">
        <w:rPr>
          <w:rFonts w:ascii="Times New Roman" w:hAnsi="Times New Roman" w:cs="Times New Roman"/>
          <w:sz w:val="24"/>
          <w:szCs w:val="24"/>
        </w:rPr>
        <w:t>440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человек или на </w:t>
      </w:r>
      <w:r w:rsidR="00C45DFC" w:rsidRPr="00C45DFC">
        <w:rPr>
          <w:rFonts w:ascii="Times New Roman" w:hAnsi="Times New Roman" w:cs="Times New Roman"/>
          <w:sz w:val="24"/>
          <w:szCs w:val="24"/>
        </w:rPr>
        <w:t>20,7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%. За счет миграционной убыли в 20</w:t>
      </w:r>
      <w:r w:rsidR="00C45DFC" w:rsidRPr="00C45DFC">
        <w:rPr>
          <w:rFonts w:ascii="Times New Roman" w:hAnsi="Times New Roman" w:cs="Times New Roman"/>
          <w:sz w:val="24"/>
          <w:szCs w:val="24"/>
        </w:rPr>
        <w:t>20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году население сократилось на </w:t>
      </w:r>
      <w:r w:rsidR="00C45DFC" w:rsidRPr="00C45DFC">
        <w:rPr>
          <w:rFonts w:ascii="Times New Roman" w:hAnsi="Times New Roman" w:cs="Times New Roman"/>
          <w:sz w:val="24"/>
          <w:szCs w:val="24"/>
        </w:rPr>
        <w:t>292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45DFC" w:rsidRPr="00C45DFC">
        <w:rPr>
          <w:rFonts w:ascii="Times New Roman" w:hAnsi="Times New Roman" w:cs="Times New Roman"/>
          <w:sz w:val="24"/>
          <w:szCs w:val="24"/>
        </w:rPr>
        <w:t>а</w:t>
      </w:r>
      <w:r w:rsidR="00FD2C07" w:rsidRPr="00C45D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2C07" w:rsidRPr="00864FD1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45DFC">
        <w:rPr>
          <w:rFonts w:ascii="Times New Roman" w:hAnsi="Times New Roman" w:cs="Times New Roman"/>
          <w:sz w:val="24"/>
          <w:szCs w:val="24"/>
        </w:rPr>
        <w:t>Анализируя динамику прошлых лет, учитывая ситуацию в</w:t>
      </w:r>
      <w:r w:rsidR="00C45DFC" w:rsidRPr="00C45DFC">
        <w:rPr>
          <w:rFonts w:ascii="Times New Roman" w:hAnsi="Times New Roman" w:cs="Times New Roman"/>
          <w:sz w:val="24"/>
          <w:szCs w:val="24"/>
        </w:rPr>
        <w:t xml:space="preserve"> первом полугодии текущего года</w:t>
      </w:r>
      <w:r w:rsidRPr="00C45DFC">
        <w:rPr>
          <w:rFonts w:ascii="Times New Roman" w:hAnsi="Times New Roman" w:cs="Times New Roman"/>
          <w:sz w:val="24"/>
          <w:szCs w:val="24"/>
        </w:rPr>
        <w:t>, ожидается, что миграционный отток населения по итогам 202</w:t>
      </w:r>
      <w:r w:rsidR="00C45DFC" w:rsidRPr="00C45DFC">
        <w:rPr>
          <w:rFonts w:ascii="Times New Roman" w:hAnsi="Times New Roman" w:cs="Times New Roman"/>
          <w:sz w:val="24"/>
          <w:szCs w:val="24"/>
        </w:rPr>
        <w:t>1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года составит 2</w:t>
      </w:r>
      <w:r w:rsidR="00C45DFC" w:rsidRPr="00C45DFC">
        <w:rPr>
          <w:rFonts w:ascii="Times New Roman" w:hAnsi="Times New Roman" w:cs="Times New Roman"/>
          <w:sz w:val="24"/>
          <w:szCs w:val="24"/>
        </w:rPr>
        <w:t>3</w:t>
      </w:r>
      <w:r w:rsidRPr="00C45DFC">
        <w:rPr>
          <w:rFonts w:ascii="Times New Roman" w:hAnsi="Times New Roman" w:cs="Times New Roman"/>
          <w:sz w:val="24"/>
          <w:szCs w:val="24"/>
        </w:rPr>
        <w:t>0 человек. Таким образом, в связи с ухудшением демографической ситуации вследствие старения населения, превышения смертности над рождаемостью и – количества, выбывших над прибывшими ожидается, что численность постоянного населения сократится к концу 202</w:t>
      </w:r>
      <w:r w:rsidR="00C45DFC" w:rsidRPr="00C45DFC">
        <w:rPr>
          <w:rFonts w:ascii="Times New Roman" w:hAnsi="Times New Roman" w:cs="Times New Roman"/>
          <w:sz w:val="24"/>
          <w:szCs w:val="24"/>
        </w:rPr>
        <w:t>1</w:t>
      </w:r>
      <w:r w:rsidR="00BC4148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C45DFC">
        <w:rPr>
          <w:rFonts w:ascii="Times New Roman" w:hAnsi="Times New Roman" w:cs="Times New Roman"/>
          <w:sz w:val="24"/>
          <w:szCs w:val="24"/>
        </w:rPr>
        <w:t>на 1,</w:t>
      </w:r>
      <w:r w:rsidR="00C45DFC" w:rsidRPr="00C45DFC">
        <w:rPr>
          <w:rFonts w:ascii="Times New Roman" w:hAnsi="Times New Roman" w:cs="Times New Roman"/>
          <w:sz w:val="24"/>
          <w:szCs w:val="24"/>
        </w:rPr>
        <w:t>3</w:t>
      </w:r>
      <w:r w:rsidRPr="00C45DFC">
        <w:rPr>
          <w:rFonts w:ascii="Times New Roman" w:hAnsi="Times New Roman" w:cs="Times New Roman"/>
          <w:sz w:val="24"/>
          <w:szCs w:val="24"/>
        </w:rPr>
        <w:t xml:space="preserve"> %, среднегодовая численность населения в районе по итогам 202</w:t>
      </w:r>
      <w:r w:rsidR="00C45DFC" w:rsidRPr="00C45DFC">
        <w:rPr>
          <w:rFonts w:ascii="Times New Roman" w:hAnsi="Times New Roman" w:cs="Times New Roman"/>
          <w:sz w:val="24"/>
          <w:szCs w:val="24"/>
        </w:rPr>
        <w:t>1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года составит 7</w:t>
      </w:r>
      <w:r w:rsidR="00C45DFC" w:rsidRPr="00C45DFC">
        <w:rPr>
          <w:rFonts w:ascii="Times New Roman" w:hAnsi="Times New Roman" w:cs="Times New Roman"/>
          <w:sz w:val="24"/>
          <w:szCs w:val="24"/>
        </w:rPr>
        <w:t>6,</w:t>
      </w:r>
      <w:r w:rsidR="00BC4148">
        <w:rPr>
          <w:rFonts w:ascii="Times New Roman" w:hAnsi="Times New Roman" w:cs="Times New Roman"/>
          <w:sz w:val="24"/>
          <w:szCs w:val="24"/>
        </w:rPr>
        <w:t>4</w:t>
      </w:r>
      <w:r w:rsidRPr="00C45DFC">
        <w:rPr>
          <w:rFonts w:ascii="Times New Roman" w:hAnsi="Times New Roman" w:cs="Times New Roman"/>
          <w:sz w:val="24"/>
          <w:szCs w:val="24"/>
        </w:rPr>
        <w:t xml:space="preserve"> тыс. человек. </w:t>
      </w:r>
    </w:p>
    <w:p w:rsidR="00FD2C07" w:rsidRPr="00864FD1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45DFC">
        <w:rPr>
          <w:rFonts w:ascii="Times New Roman" w:hAnsi="Times New Roman" w:cs="Times New Roman"/>
          <w:sz w:val="24"/>
          <w:szCs w:val="24"/>
        </w:rPr>
        <w:t>После продолжительного периода значительного сокращения населения района –                    на плановый период 202</w:t>
      </w:r>
      <w:r w:rsidR="00C45DFC" w:rsidRPr="00C45DFC">
        <w:rPr>
          <w:rFonts w:ascii="Times New Roman" w:hAnsi="Times New Roman" w:cs="Times New Roman"/>
          <w:sz w:val="24"/>
          <w:szCs w:val="24"/>
        </w:rPr>
        <w:t>2</w:t>
      </w:r>
      <w:r w:rsidRPr="00C45DFC">
        <w:rPr>
          <w:rFonts w:ascii="Times New Roman" w:hAnsi="Times New Roman" w:cs="Times New Roman"/>
          <w:sz w:val="24"/>
          <w:szCs w:val="24"/>
        </w:rPr>
        <w:t>-202</w:t>
      </w:r>
      <w:r w:rsidR="00C45DFC" w:rsidRPr="00C45DFC">
        <w:rPr>
          <w:rFonts w:ascii="Times New Roman" w:hAnsi="Times New Roman" w:cs="Times New Roman"/>
          <w:sz w:val="24"/>
          <w:szCs w:val="24"/>
        </w:rPr>
        <w:t>4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годов прогнозируется замедление темпов снижения численности населения. В результате реализации демографических программ по стимулированию рождаемости, мер по повышению качества и доступности медицинской помощи, усилением профилактической работы в амбулаторно-поликлиническом отделении учреждения здравоохранения, создания условий для повышения материального благосостояния трудоспособного населения на основе официальной занятости, достойных условий и оплаты труда в целях сбережения народонаселения к 202</w:t>
      </w:r>
      <w:r w:rsidR="00C45DFC" w:rsidRPr="00C45DFC">
        <w:rPr>
          <w:rFonts w:ascii="Times New Roman" w:hAnsi="Times New Roman" w:cs="Times New Roman"/>
          <w:sz w:val="24"/>
          <w:szCs w:val="24"/>
        </w:rPr>
        <w:t>4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году прогнозируется уменьшение численности населения до 7</w:t>
      </w:r>
      <w:r w:rsidR="00BC4148">
        <w:rPr>
          <w:rFonts w:ascii="Times New Roman" w:hAnsi="Times New Roman" w:cs="Times New Roman"/>
          <w:sz w:val="24"/>
          <w:szCs w:val="24"/>
        </w:rPr>
        <w:t>3,5</w:t>
      </w:r>
      <w:r w:rsidRPr="00C45DFC">
        <w:rPr>
          <w:rFonts w:ascii="Times New Roman" w:hAnsi="Times New Roman" w:cs="Times New Roman"/>
          <w:sz w:val="24"/>
          <w:szCs w:val="24"/>
        </w:rPr>
        <w:t xml:space="preserve"> тыс. человек – по консервативному варианту,                до 7</w:t>
      </w:r>
      <w:r w:rsidR="00C45DFC" w:rsidRPr="00C45DFC">
        <w:rPr>
          <w:rFonts w:ascii="Times New Roman" w:hAnsi="Times New Roman" w:cs="Times New Roman"/>
          <w:sz w:val="24"/>
          <w:szCs w:val="24"/>
        </w:rPr>
        <w:t>4,</w:t>
      </w:r>
      <w:r w:rsidR="00BC4148">
        <w:rPr>
          <w:rFonts w:ascii="Times New Roman" w:hAnsi="Times New Roman" w:cs="Times New Roman"/>
          <w:sz w:val="24"/>
          <w:szCs w:val="24"/>
        </w:rPr>
        <w:t>6</w:t>
      </w:r>
      <w:r w:rsidRPr="00C45DFC">
        <w:rPr>
          <w:rFonts w:ascii="Times New Roman" w:hAnsi="Times New Roman" w:cs="Times New Roman"/>
          <w:sz w:val="24"/>
          <w:szCs w:val="24"/>
        </w:rPr>
        <w:t xml:space="preserve"> тыс. человек – по базовому варианту.</w:t>
      </w:r>
      <w:r w:rsidRPr="00C45DFC">
        <w:t xml:space="preserve"> </w:t>
      </w:r>
    </w:p>
    <w:p w:rsidR="00FD2C07" w:rsidRPr="00C45DFC" w:rsidRDefault="00FD2C07" w:rsidP="00FD2C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DFC">
        <w:rPr>
          <w:rFonts w:ascii="Times New Roman" w:hAnsi="Times New Roman" w:cs="Times New Roman"/>
          <w:sz w:val="24"/>
          <w:szCs w:val="24"/>
        </w:rPr>
        <w:t>В прогнозном периоде к 202</w:t>
      </w:r>
      <w:r w:rsidR="00C45DFC">
        <w:rPr>
          <w:rFonts w:ascii="Times New Roman" w:hAnsi="Times New Roman" w:cs="Times New Roman"/>
          <w:sz w:val="24"/>
          <w:szCs w:val="24"/>
        </w:rPr>
        <w:t>4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году ожидается изменение:</w:t>
      </w:r>
    </w:p>
    <w:p w:rsidR="00FD2C07" w:rsidRPr="00C45DFC" w:rsidRDefault="00FD2C07" w:rsidP="00FD2C07">
      <w:pPr>
        <w:pStyle w:val="a7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</w:pPr>
      <w:r w:rsidRPr="00C45DFC">
        <w:rPr>
          <w:rFonts w:ascii="Times New Roman" w:hAnsi="Times New Roman" w:cs="Times New Roman"/>
          <w:sz w:val="24"/>
          <w:szCs w:val="24"/>
        </w:rPr>
        <w:t>коэффициента рождаемости с 8,</w:t>
      </w:r>
      <w:r w:rsidR="00C45DFC" w:rsidRPr="00C45DFC">
        <w:rPr>
          <w:rFonts w:ascii="Times New Roman" w:hAnsi="Times New Roman" w:cs="Times New Roman"/>
          <w:sz w:val="24"/>
          <w:szCs w:val="24"/>
        </w:rPr>
        <w:t>2</w:t>
      </w:r>
      <w:r w:rsidRPr="00C45DFC">
        <w:rPr>
          <w:rFonts w:ascii="Times New Roman" w:hAnsi="Times New Roman" w:cs="Times New Roman"/>
          <w:sz w:val="24"/>
          <w:szCs w:val="24"/>
        </w:rPr>
        <w:t xml:space="preserve"> промилле в 20</w:t>
      </w:r>
      <w:r w:rsidR="00C45DFC" w:rsidRPr="00C45DFC">
        <w:rPr>
          <w:rFonts w:ascii="Times New Roman" w:hAnsi="Times New Roman" w:cs="Times New Roman"/>
          <w:sz w:val="24"/>
          <w:szCs w:val="24"/>
        </w:rPr>
        <w:t>20 году до 9,</w:t>
      </w:r>
      <w:r w:rsidR="00BC4148">
        <w:rPr>
          <w:rFonts w:ascii="Times New Roman" w:hAnsi="Times New Roman" w:cs="Times New Roman"/>
          <w:sz w:val="24"/>
          <w:szCs w:val="24"/>
        </w:rPr>
        <w:t>4</w:t>
      </w:r>
      <w:r w:rsidRPr="00C45DFC">
        <w:rPr>
          <w:rFonts w:ascii="Times New Roman" w:hAnsi="Times New Roman" w:cs="Times New Roman"/>
          <w:sz w:val="24"/>
          <w:szCs w:val="24"/>
        </w:rPr>
        <w:t xml:space="preserve"> промилле –                           по консервативному варианту, до </w:t>
      </w:r>
      <w:r w:rsidR="00BC4148">
        <w:rPr>
          <w:rFonts w:ascii="Times New Roman" w:hAnsi="Times New Roman" w:cs="Times New Roman"/>
          <w:sz w:val="24"/>
          <w:szCs w:val="24"/>
        </w:rPr>
        <w:t>10,7</w:t>
      </w:r>
      <w:r w:rsidRPr="00C45DFC">
        <w:rPr>
          <w:rFonts w:ascii="Times New Roman" w:hAnsi="Times New Roman" w:cs="Times New Roman"/>
          <w:sz w:val="24"/>
          <w:szCs w:val="24"/>
        </w:rPr>
        <w:t xml:space="preserve"> – по базовому варианту;</w:t>
      </w:r>
    </w:p>
    <w:p w:rsidR="00FD2C07" w:rsidRPr="00C45DFC" w:rsidRDefault="00FD2C07" w:rsidP="00FD2C07">
      <w:pPr>
        <w:pStyle w:val="a7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</w:pPr>
      <w:r w:rsidRPr="00C45DFC">
        <w:rPr>
          <w:rFonts w:ascii="Times New Roman" w:hAnsi="Times New Roman" w:cs="Times New Roman"/>
          <w:sz w:val="24"/>
          <w:szCs w:val="24"/>
        </w:rPr>
        <w:t>коэффициента смертности с 1</w:t>
      </w:r>
      <w:r w:rsidR="00C45DFC" w:rsidRPr="00C45DFC">
        <w:rPr>
          <w:rFonts w:ascii="Times New Roman" w:hAnsi="Times New Roman" w:cs="Times New Roman"/>
          <w:sz w:val="24"/>
          <w:szCs w:val="24"/>
        </w:rPr>
        <w:t>8,1</w:t>
      </w:r>
      <w:r w:rsidRPr="00C45DFC">
        <w:rPr>
          <w:rFonts w:ascii="Times New Roman" w:hAnsi="Times New Roman" w:cs="Times New Roman"/>
          <w:sz w:val="24"/>
          <w:szCs w:val="24"/>
        </w:rPr>
        <w:t xml:space="preserve"> промилле в 20</w:t>
      </w:r>
      <w:r w:rsidR="00C45DFC" w:rsidRPr="00C45DFC">
        <w:rPr>
          <w:rFonts w:ascii="Times New Roman" w:hAnsi="Times New Roman" w:cs="Times New Roman"/>
          <w:sz w:val="24"/>
          <w:szCs w:val="24"/>
        </w:rPr>
        <w:t>20</w:t>
      </w:r>
      <w:r w:rsidRPr="00C45DFC">
        <w:rPr>
          <w:rFonts w:ascii="Times New Roman" w:hAnsi="Times New Roman" w:cs="Times New Roman"/>
          <w:sz w:val="24"/>
          <w:szCs w:val="24"/>
        </w:rPr>
        <w:t xml:space="preserve"> году до 1</w:t>
      </w:r>
      <w:r w:rsidR="00C45DFC" w:rsidRPr="00C45DFC">
        <w:rPr>
          <w:rFonts w:ascii="Times New Roman" w:hAnsi="Times New Roman" w:cs="Times New Roman"/>
          <w:sz w:val="24"/>
          <w:szCs w:val="24"/>
        </w:rPr>
        <w:t>6,1</w:t>
      </w:r>
      <w:r w:rsidRPr="00C45DFC">
        <w:rPr>
          <w:rFonts w:ascii="Times New Roman" w:hAnsi="Times New Roman" w:cs="Times New Roman"/>
          <w:sz w:val="24"/>
          <w:szCs w:val="24"/>
        </w:rPr>
        <w:t xml:space="preserve"> промилле –                          по консервативному варианту, до 1</w:t>
      </w:r>
      <w:r w:rsidR="00BC4148">
        <w:rPr>
          <w:rFonts w:ascii="Times New Roman" w:hAnsi="Times New Roman" w:cs="Times New Roman"/>
          <w:sz w:val="24"/>
          <w:szCs w:val="24"/>
        </w:rPr>
        <w:t>5,1</w:t>
      </w:r>
      <w:r w:rsidRPr="00C45DFC">
        <w:rPr>
          <w:rFonts w:ascii="Times New Roman" w:hAnsi="Times New Roman" w:cs="Times New Roman"/>
          <w:sz w:val="24"/>
          <w:szCs w:val="24"/>
        </w:rPr>
        <w:t xml:space="preserve"> – по базовому варианту;</w:t>
      </w:r>
    </w:p>
    <w:p w:rsidR="00FD2C07" w:rsidRPr="004D6686" w:rsidRDefault="00FD2C07" w:rsidP="00FD2C07">
      <w:pPr>
        <w:pStyle w:val="a7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</w:pPr>
      <w:r w:rsidRPr="004D6686">
        <w:rPr>
          <w:rFonts w:ascii="Times New Roman" w:hAnsi="Times New Roman" w:cs="Times New Roman"/>
          <w:sz w:val="24"/>
          <w:szCs w:val="24"/>
        </w:rPr>
        <w:t>коэффициента естественной убыли населения с -</w:t>
      </w:r>
      <w:r w:rsidR="004D6686" w:rsidRPr="004D6686">
        <w:rPr>
          <w:rFonts w:ascii="Times New Roman" w:hAnsi="Times New Roman" w:cs="Times New Roman"/>
          <w:sz w:val="24"/>
          <w:szCs w:val="24"/>
        </w:rPr>
        <w:t>9,9</w:t>
      </w:r>
      <w:r w:rsidRPr="004D6686">
        <w:rPr>
          <w:rFonts w:ascii="Times New Roman" w:hAnsi="Times New Roman" w:cs="Times New Roman"/>
          <w:sz w:val="24"/>
          <w:szCs w:val="24"/>
        </w:rPr>
        <w:t xml:space="preserve"> промилле в 20</w:t>
      </w:r>
      <w:r w:rsidR="004D6686" w:rsidRPr="004D6686">
        <w:rPr>
          <w:rFonts w:ascii="Times New Roman" w:hAnsi="Times New Roman" w:cs="Times New Roman"/>
          <w:sz w:val="24"/>
          <w:szCs w:val="24"/>
        </w:rPr>
        <w:t>20</w:t>
      </w:r>
      <w:r w:rsidRPr="004D6686">
        <w:rPr>
          <w:rFonts w:ascii="Times New Roman" w:hAnsi="Times New Roman" w:cs="Times New Roman"/>
          <w:sz w:val="24"/>
          <w:szCs w:val="24"/>
        </w:rPr>
        <w:t xml:space="preserve"> году                             до -</w:t>
      </w:r>
      <w:r w:rsidR="004D6686" w:rsidRPr="004D6686">
        <w:rPr>
          <w:rFonts w:ascii="Times New Roman" w:hAnsi="Times New Roman" w:cs="Times New Roman"/>
          <w:sz w:val="24"/>
          <w:szCs w:val="24"/>
        </w:rPr>
        <w:t>6,7</w:t>
      </w:r>
      <w:r w:rsidRPr="004D6686">
        <w:rPr>
          <w:rFonts w:ascii="Times New Roman" w:hAnsi="Times New Roman" w:cs="Times New Roman"/>
          <w:sz w:val="24"/>
          <w:szCs w:val="24"/>
        </w:rPr>
        <w:t xml:space="preserve"> промилле – по консервативному варианту, -</w:t>
      </w:r>
      <w:r w:rsidR="00BC4148">
        <w:rPr>
          <w:rFonts w:ascii="Times New Roman" w:hAnsi="Times New Roman" w:cs="Times New Roman"/>
          <w:sz w:val="24"/>
          <w:szCs w:val="24"/>
        </w:rPr>
        <w:t>4,4</w:t>
      </w:r>
      <w:r w:rsidR="004D6686" w:rsidRPr="004D6686">
        <w:rPr>
          <w:rFonts w:ascii="Times New Roman" w:hAnsi="Times New Roman" w:cs="Times New Roman"/>
          <w:sz w:val="24"/>
          <w:szCs w:val="24"/>
        </w:rPr>
        <w:t xml:space="preserve"> – по базовому варианту</w:t>
      </w:r>
      <w:r w:rsidRPr="004D6686">
        <w:rPr>
          <w:rFonts w:ascii="Times New Roman" w:hAnsi="Times New Roman" w:cs="Times New Roman"/>
          <w:sz w:val="24"/>
          <w:szCs w:val="24"/>
        </w:rPr>
        <w:t>;</w:t>
      </w:r>
    </w:p>
    <w:p w:rsidR="00FD2C07" w:rsidRPr="004D6686" w:rsidRDefault="00FD2C07" w:rsidP="00FD2C07">
      <w:pPr>
        <w:pStyle w:val="a7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</w:pPr>
      <w:r w:rsidRPr="004D6686">
        <w:rPr>
          <w:rFonts w:ascii="Times New Roman" w:hAnsi="Times New Roman" w:cs="Times New Roman"/>
          <w:sz w:val="24"/>
          <w:szCs w:val="24"/>
        </w:rPr>
        <w:t>коэффициента миграционной убыли населения с -3,</w:t>
      </w:r>
      <w:r w:rsidR="004D6686" w:rsidRPr="004D6686">
        <w:rPr>
          <w:rFonts w:ascii="Times New Roman" w:hAnsi="Times New Roman" w:cs="Times New Roman"/>
          <w:sz w:val="24"/>
          <w:szCs w:val="24"/>
        </w:rPr>
        <w:t>8</w:t>
      </w:r>
      <w:r w:rsidRPr="004D6686">
        <w:rPr>
          <w:rFonts w:ascii="Times New Roman" w:hAnsi="Times New Roman" w:cs="Times New Roman"/>
          <w:sz w:val="24"/>
          <w:szCs w:val="24"/>
        </w:rPr>
        <w:t xml:space="preserve"> промилле в 20</w:t>
      </w:r>
      <w:r w:rsidR="004D6686" w:rsidRPr="004D6686">
        <w:rPr>
          <w:rFonts w:ascii="Times New Roman" w:hAnsi="Times New Roman" w:cs="Times New Roman"/>
          <w:sz w:val="24"/>
          <w:szCs w:val="24"/>
        </w:rPr>
        <w:t>20</w:t>
      </w:r>
      <w:r w:rsidRPr="004D6686">
        <w:rPr>
          <w:rFonts w:ascii="Times New Roman" w:hAnsi="Times New Roman" w:cs="Times New Roman"/>
          <w:sz w:val="24"/>
          <w:szCs w:val="24"/>
        </w:rPr>
        <w:t xml:space="preserve"> году                           до -</w:t>
      </w:r>
      <w:r w:rsidR="00BC4148">
        <w:rPr>
          <w:rFonts w:ascii="Times New Roman" w:hAnsi="Times New Roman" w:cs="Times New Roman"/>
          <w:sz w:val="24"/>
          <w:szCs w:val="24"/>
        </w:rPr>
        <w:t>0,1</w:t>
      </w:r>
      <w:r w:rsidRPr="004D6686">
        <w:rPr>
          <w:rFonts w:ascii="Times New Roman" w:hAnsi="Times New Roman" w:cs="Times New Roman"/>
          <w:sz w:val="24"/>
          <w:szCs w:val="24"/>
        </w:rPr>
        <w:t xml:space="preserve"> промилле – по консервативному варианту, -</w:t>
      </w:r>
      <w:r w:rsidR="004D6686" w:rsidRPr="004D6686">
        <w:rPr>
          <w:rFonts w:ascii="Times New Roman" w:hAnsi="Times New Roman" w:cs="Times New Roman"/>
          <w:sz w:val="24"/>
          <w:szCs w:val="24"/>
        </w:rPr>
        <w:t>0,</w:t>
      </w:r>
      <w:r w:rsidR="00BC4148">
        <w:rPr>
          <w:rFonts w:ascii="Times New Roman" w:hAnsi="Times New Roman" w:cs="Times New Roman"/>
          <w:sz w:val="24"/>
          <w:szCs w:val="24"/>
        </w:rPr>
        <w:t>1</w:t>
      </w:r>
      <w:r w:rsidR="004D6686" w:rsidRPr="004D6686">
        <w:rPr>
          <w:rFonts w:ascii="Times New Roman" w:hAnsi="Times New Roman" w:cs="Times New Roman"/>
          <w:sz w:val="24"/>
          <w:szCs w:val="24"/>
        </w:rPr>
        <w:t xml:space="preserve"> – по базовому варианту</w:t>
      </w:r>
      <w:r w:rsidRPr="004D6686">
        <w:rPr>
          <w:rFonts w:ascii="Times New Roman" w:hAnsi="Times New Roman" w:cs="Times New Roman"/>
          <w:sz w:val="24"/>
          <w:szCs w:val="24"/>
        </w:rPr>
        <w:t>.</w:t>
      </w:r>
    </w:p>
    <w:p w:rsidR="00805436" w:rsidRPr="00864FD1" w:rsidRDefault="00805436" w:rsidP="00805436">
      <w:pPr>
        <w:tabs>
          <w:tab w:val="left" w:pos="3615"/>
        </w:tabs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308EA" w:rsidRPr="007035D1" w:rsidRDefault="00F308E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035D1">
        <w:rPr>
          <w:rFonts w:ascii="Times New Roman" w:hAnsi="Times New Roman" w:cs="Times New Roman"/>
          <w:b/>
          <w:sz w:val="24"/>
          <w:szCs w:val="28"/>
        </w:rPr>
        <w:lastRenderedPageBreak/>
        <w:t>Промышленное производство</w:t>
      </w:r>
    </w:p>
    <w:p w:rsidR="00F722AE" w:rsidRPr="00864FD1" w:rsidRDefault="00D97D9D" w:rsidP="00F722A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7035D1">
        <w:rPr>
          <w:rFonts w:ascii="Times New Roman" w:hAnsi="Times New Roman" w:cs="Times New Roman"/>
          <w:sz w:val="24"/>
          <w:szCs w:val="24"/>
        </w:rPr>
        <w:t>Крупнейшие предприятия</w:t>
      </w:r>
      <w:r w:rsidR="007035D1">
        <w:rPr>
          <w:rFonts w:ascii="Times New Roman" w:hAnsi="Times New Roman" w:cs="Times New Roman"/>
          <w:sz w:val="24"/>
          <w:szCs w:val="24"/>
        </w:rPr>
        <w:t xml:space="preserve"> по итогам 2020 года</w:t>
      </w:r>
      <w:r w:rsidRPr="007035D1">
        <w:rPr>
          <w:rFonts w:ascii="Times New Roman" w:hAnsi="Times New Roman" w:cs="Times New Roman"/>
          <w:sz w:val="24"/>
          <w:szCs w:val="24"/>
        </w:rPr>
        <w:t xml:space="preserve">, осуществляющие свою деятельность на территории района и определяющие развитие данной отрасли </w:t>
      </w:r>
      <w:r w:rsidR="00F722AE" w:rsidRPr="007035D1">
        <w:rPr>
          <w:rFonts w:ascii="Times New Roman" w:hAnsi="Times New Roman" w:cs="Times New Roman"/>
          <w:sz w:val="24"/>
          <w:szCs w:val="24"/>
        </w:rPr>
        <w:t xml:space="preserve">- </w:t>
      </w:r>
      <w:r w:rsidRPr="007035D1">
        <w:rPr>
          <w:rFonts w:ascii="Times New Roman" w:hAnsi="Times New Roman" w:cs="Times New Roman"/>
          <w:sz w:val="24"/>
          <w:szCs w:val="24"/>
        </w:rPr>
        <w:t xml:space="preserve">ПАО «Комбинат Магнезит», ООО «Группа Магнезит», АО «СЧПЗ», ООО «Бакальское рудоуправление», ООО «Магнезит Монтаж Сервис», </w:t>
      </w:r>
      <w:r w:rsidR="003C2227" w:rsidRPr="007035D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3C2227" w:rsidRPr="007035D1">
        <w:rPr>
          <w:rFonts w:ascii="Times New Roman" w:hAnsi="Times New Roman" w:cs="Times New Roman"/>
          <w:sz w:val="24"/>
          <w:szCs w:val="24"/>
        </w:rPr>
        <w:t>Саткинская</w:t>
      </w:r>
      <w:proofErr w:type="spellEnd"/>
      <w:r w:rsidR="003C2227" w:rsidRPr="007035D1">
        <w:rPr>
          <w:rFonts w:ascii="Times New Roman" w:hAnsi="Times New Roman" w:cs="Times New Roman"/>
          <w:sz w:val="24"/>
          <w:szCs w:val="24"/>
        </w:rPr>
        <w:t xml:space="preserve"> нерудная компания», </w:t>
      </w:r>
      <w:r w:rsidR="00A806C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035D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035D1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7035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D1">
        <w:rPr>
          <w:rFonts w:ascii="Times New Roman" w:hAnsi="Times New Roman" w:cs="Times New Roman"/>
          <w:sz w:val="24"/>
          <w:szCs w:val="24"/>
        </w:rPr>
        <w:t>щебзавод</w:t>
      </w:r>
      <w:proofErr w:type="spellEnd"/>
      <w:r w:rsidR="007035D1">
        <w:rPr>
          <w:rFonts w:ascii="Times New Roman" w:hAnsi="Times New Roman" w:cs="Times New Roman"/>
          <w:sz w:val="24"/>
          <w:szCs w:val="24"/>
        </w:rPr>
        <w:t xml:space="preserve">», </w:t>
      </w:r>
      <w:r w:rsidRPr="007035D1">
        <w:rPr>
          <w:rFonts w:ascii="Times New Roman" w:hAnsi="Times New Roman" w:cs="Times New Roman"/>
          <w:sz w:val="24"/>
          <w:szCs w:val="24"/>
        </w:rPr>
        <w:t>АО «Энергосистемы», ООО «</w:t>
      </w:r>
      <w:proofErr w:type="spellStart"/>
      <w:r w:rsidRPr="007035D1">
        <w:rPr>
          <w:rFonts w:ascii="Times New Roman" w:hAnsi="Times New Roman" w:cs="Times New Roman"/>
          <w:sz w:val="24"/>
          <w:szCs w:val="24"/>
        </w:rPr>
        <w:t>ПНК-Урал</w:t>
      </w:r>
      <w:proofErr w:type="spellEnd"/>
      <w:r w:rsidRPr="007035D1">
        <w:rPr>
          <w:rFonts w:ascii="Times New Roman" w:hAnsi="Times New Roman" w:cs="Times New Roman"/>
          <w:sz w:val="24"/>
          <w:szCs w:val="24"/>
        </w:rPr>
        <w:t>», ЗАО «</w:t>
      </w:r>
      <w:proofErr w:type="spellStart"/>
      <w:r w:rsidRPr="007035D1">
        <w:rPr>
          <w:rFonts w:ascii="Times New Roman" w:hAnsi="Times New Roman" w:cs="Times New Roman"/>
          <w:sz w:val="24"/>
          <w:szCs w:val="24"/>
        </w:rPr>
        <w:t>Саткинское</w:t>
      </w:r>
      <w:proofErr w:type="spellEnd"/>
      <w:r w:rsidRPr="007035D1">
        <w:rPr>
          <w:rFonts w:ascii="Times New Roman" w:hAnsi="Times New Roman" w:cs="Times New Roman"/>
          <w:sz w:val="24"/>
          <w:szCs w:val="24"/>
        </w:rPr>
        <w:t xml:space="preserve"> ДРСУ».</w:t>
      </w:r>
      <w:r w:rsidR="00F722AE" w:rsidRPr="007035D1">
        <w:rPr>
          <w:rFonts w:ascii="Times New Roman" w:hAnsi="Times New Roman" w:cs="Times New Roman"/>
          <w:sz w:val="24"/>
        </w:rPr>
        <w:t xml:space="preserve"> </w:t>
      </w:r>
      <w:r w:rsidR="00F722AE" w:rsidRPr="00BE5776">
        <w:rPr>
          <w:rFonts w:ascii="Times New Roman" w:hAnsi="Times New Roman" w:cs="Times New Roman"/>
          <w:sz w:val="24"/>
        </w:rPr>
        <w:t>Источником информации для формирования показателей промышленного производства отчётного и прогнозного периодов являются данные, представленные предприятиями, осуществляющими свою деятельность на территории Саткинского муниципального района.</w:t>
      </w:r>
    </w:p>
    <w:p w:rsidR="00D07F0F" w:rsidRDefault="00D07F0F" w:rsidP="00D07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5"/>
        </w:rPr>
      </w:pPr>
      <w:r w:rsidRPr="00BE5776">
        <w:rPr>
          <w:rFonts w:ascii="Times New Roman" w:hAnsi="Times New Roman" w:cs="Times New Roman"/>
          <w:sz w:val="24"/>
          <w:szCs w:val="28"/>
        </w:rPr>
        <w:t>Объем отгруженной продукции собственного производства, выполненных работ и оказанных услуг по «чистым видам» экономической деятельности крупными и средними организациями района по итогам 20</w:t>
      </w:r>
      <w:r w:rsidR="00BE5776" w:rsidRPr="00BE5776">
        <w:rPr>
          <w:rFonts w:ascii="Times New Roman" w:hAnsi="Times New Roman" w:cs="Times New Roman"/>
          <w:sz w:val="24"/>
          <w:szCs w:val="28"/>
        </w:rPr>
        <w:t>20</w:t>
      </w:r>
      <w:r w:rsidRPr="00BE5776">
        <w:rPr>
          <w:rFonts w:ascii="Times New Roman" w:hAnsi="Times New Roman" w:cs="Times New Roman"/>
          <w:sz w:val="24"/>
          <w:szCs w:val="28"/>
        </w:rPr>
        <w:t xml:space="preserve"> года </w:t>
      </w:r>
      <w:r w:rsidR="00BE5776" w:rsidRPr="00BE5776">
        <w:rPr>
          <w:rFonts w:ascii="Times New Roman" w:hAnsi="Times New Roman" w:cs="Times New Roman"/>
          <w:sz w:val="24"/>
          <w:szCs w:val="28"/>
        </w:rPr>
        <w:t xml:space="preserve">снизился </w:t>
      </w:r>
      <w:r w:rsidRPr="00BE5776">
        <w:rPr>
          <w:rFonts w:ascii="Times New Roman" w:hAnsi="Times New Roman" w:cs="Times New Roman"/>
          <w:sz w:val="24"/>
          <w:szCs w:val="28"/>
        </w:rPr>
        <w:t xml:space="preserve">на </w:t>
      </w:r>
      <w:r w:rsidR="00BB3B21">
        <w:rPr>
          <w:rFonts w:ascii="Times New Roman" w:hAnsi="Times New Roman" w:cs="Times New Roman"/>
          <w:sz w:val="24"/>
          <w:szCs w:val="28"/>
        </w:rPr>
        <w:t>8</w:t>
      </w:r>
      <w:r w:rsidR="00295707" w:rsidRPr="00BE5776">
        <w:rPr>
          <w:rFonts w:ascii="Times New Roman" w:hAnsi="Times New Roman" w:cs="Times New Roman"/>
          <w:sz w:val="24"/>
          <w:szCs w:val="28"/>
        </w:rPr>
        <w:t>,2</w:t>
      </w:r>
      <w:r w:rsidRPr="00BE5776">
        <w:rPr>
          <w:rFonts w:ascii="Times New Roman" w:hAnsi="Times New Roman" w:cs="Times New Roman"/>
          <w:sz w:val="24"/>
          <w:szCs w:val="28"/>
        </w:rPr>
        <w:t>% к уровню 201</w:t>
      </w:r>
      <w:r w:rsidR="00BE5776" w:rsidRPr="00BE5776">
        <w:rPr>
          <w:rFonts w:ascii="Times New Roman" w:hAnsi="Times New Roman" w:cs="Times New Roman"/>
          <w:sz w:val="24"/>
          <w:szCs w:val="28"/>
        </w:rPr>
        <w:t>9</w:t>
      </w:r>
      <w:r w:rsidRPr="00BE5776">
        <w:rPr>
          <w:rFonts w:ascii="Times New Roman" w:hAnsi="Times New Roman" w:cs="Times New Roman"/>
          <w:sz w:val="24"/>
          <w:szCs w:val="28"/>
        </w:rPr>
        <w:t xml:space="preserve"> года, и составил </w:t>
      </w:r>
      <w:r w:rsidR="00011420" w:rsidRPr="00BE5776">
        <w:rPr>
          <w:rFonts w:ascii="Times New Roman" w:hAnsi="Times New Roman" w:cs="Times New Roman"/>
          <w:sz w:val="24"/>
          <w:szCs w:val="28"/>
        </w:rPr>
        <w:t>4</w:t>
      </w:r>
      <w:r w:rsidR="00BE5776" w:rsidRPr="00BE5776">
        <w:rPr>
          <w:rFonts w:ascii="Times New Roman" w:hAnsi="Times New Roman" w:cs="Times New Roman"/>
          <w:sz w:val="24"/>
          <w:szCs w:val="28"/>
        </w:rPr>
        <w:t>2 830,0</w:t>
      </w:r>
      <w:r w:rsidRPr="00BE5776">
        <w:rPr>
          <w:rFonts w:ascii="Times New Roman" w:hAnsi="Times New Roman" w:cs="Times New Roman"/>
          <w:sz w:val="24"/>
          <w:szCs w:val="28"/>
        </w:rPr>
        <w:t xml:space="preserve"> млн. рублей, в том числе </w:t>
      </w:r>
      <w:r w:rsidRPr="00BE5776">
        <w:rPr>
          <w:rFonts w:ascii="Times New Roman" w:hAnsi="Times New Roman" w:cs="Times New Roman"/>
          <w:sz w:val="24"/>
          <w:szCs w:val="25"/>
        </w:rPr>
        <w:t>по крупным и средним промышленным предприятиям по видам экономической деятельности:</w:t>
      </w:r>
    </w:p>
    <w:p w:rsidR="00BB3B21" w:rsidRPr="00BB3B21" w:rsidRDefault="00BB3B21" w:rsidP="00BB3B21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BB3B21">
        <w:rPr>
          <w:rFonts w:ascii="Times New Roman" w:hAnsi="Times New Roman" w:cs="Times New Roman"/>
          <w:sz w:val="24"/>
          <w:szCs w:val="28"/>
        </w:rPr>
        <w:t>- добыча полезных ископаемых - 4 233,5 млн. рублей, темп роста – 116,7%;</w:t>
      </w:r>
    </w:p>
    <w:p w:rsidR="00BB3B21" w:rsidRPr="00BB3B21" w:rsidRDefault="00BB3B21" w:rsidP="00BB3B21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BB3B21">
        <w:rPr>
          <w:rFonts w:ascii="Times New Roman" w:hAnsi="Times New Roman" w:cs="Times New Roman"/>
          <w:sz w:val="24"/>
          <w:szCs w:val="28"/>
        </w:rPr>
        <w:t>- обрабатывающее производство – 34 863,1 млн. рублей, темп роста – 87,1%;</w:t>
      </w:r>
    </w:p>
    <w:p w:rsidR="00BB3B21" w:rsidRPr="00BB3B21" w:rsidRDefault="00BB3B21" w:rsidP="00BB3B21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BB3B21">
        <w:rPr>
          <w:rFonts w:ascii="Times New Roman" w:hAnsi="Times New Roman" w:cs="Times New Roman"/>
          <w:sz w:val="24"/>
          <w:szCs w:val="28"/>
        </w:rPr>
        <w:t>- обеспечение электроэнергией, газом и паром, кондиционирование воздуха – 933,3 млн. рублей, темп роста – в 2,0 р.;</w:t>
      </w:r>
    </w:p>
    <w:p w:rsidR="00BB3B21" w:rsidRPr="00BB3B21" w:rsidRDefault="00BB3B21" w:rsidP="00BB3B21">
      <w:pPr>
        <w:spacing w:after="0" w:line="360" w:lineRule="auto"/>
        <w:ind w:firstLine="709"/>
        <w:jc w:val="both"/>
        <w:rPr>
          <w:rFonts w:ascii="Times New Roman" w:hAnsi="Times New Roman" w:cs="Times New Roman"/>
          <w:szCs w:val="25"/>
        </w:rPr>
      </w:pPr>
      <w:r w:rsidRPr="00BB3B21">
        <w:rPr>
          <w:rFonts w:ascii="Times New Roman" w:hAnsi="Times New Roman" w:cs="Times New Roman"/>
          <w:sz w:val="24"/>
          <w:szCs w:val="28"/>
        </w:rPr>
        <w:t>- водоснабжение, водоотведение, организация сбора и утилизации отходов, деятельность</w:t>
      </w:r>
    </w:p>
    <w:p w:rsidR="00F722AE" w:rsidRPr="006F2013" w:rsidRDefault="00F722AE" w:rsidP="00F722A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13">
        <w:rPr>
          <w:rFonts w:ascii="Times New Roman" w:hAnsi="Times New Roman" w:cs="Times New Roman"/>
          <w:sz w:val="24"/>
          <w:szCs w:val="24"/>
        </w:rPr>
        <w:t xml:space="preserve">В соответствии с методическими рекомендациями к разработке показателей прогноза социально-экономического развития муниципального района (городского округа) Челябинской области, направленным Министерством экономического развития Челябинской области, при планировании </w:t>
      </w:r>
      <w:r w:rsidR="00D07F0F" w:rsidRPr="006F2013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6F2013">
        <w:rPr>
          <w:rFonts w:ascii="Times New Roman" w:hAnsi="Times New Roman" w:cs="Times New Roman"/>
          <w:sz w:val="24"/>
          <w:szCs w:val="24"/>
        </w:rPr>
        <w:t>использованы индексы-дефляторы, подготовленные Минэкономразвития России.</w:t>
      </w:r>
    </w:p>
    <w:p w:rsidR="00CC295E" w:rsidRPr="006F2013" w:rsidRDefault="00CC295E" w:rsidP="00CC29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2013">
        <w:rPr>
          <w:rFonts w:ascii="Times New Roman" w:hAnsi="Times New Roman" w:cs="Times New Roman"/>
          <w:sz w:val="24"/>
          <w:szCs w:val="28"/>
        </w:rPr>
        <w:t>В 20</w:t>
      </w:r>
      <w:r w:rsidR="000D3F93" w:rsidRPr="006F2013">
        <w:rPr>
          <w:rFonts w:ascii="Times New Roman" w:hAnsi="Times New Roman" w:cs="Times New Roman"/>
          <w:sz w:val="24"/>
          <w:szCs w:val="28"/>
        </w:rPr>
        <w:t>2</w:t>
      </w:r>
      <w:r w:rsidR="00BE5776" w:rsidRPr="006F2013">
        <w:rPr>
          <w:rFonts w:ascii="Times New Roman" w:hAnsi="Times New Roman" w:cs="Times New Roman"/>
          <w:sz w:val="24"/>
          <w:szCs w:val="28"/>
        </w:rPr>
        <w:t>1</w:t>
      </w:r>
      <w:r w:rsidRPr="006F2013">
        <w:rPr>
          <w:rFonts w:ascii="Times New Roman" w:hAnsi="Times New Roman" w:cs="Times New Roman"/>
          <w:sz w:val="24"/>
          <w:szCs w:val="28"/>
        </w:rPr>
        <w:t xml:space="preserve">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ожидается в размере 4</w:t>
      </w:r>
      <w:r w:rsidR="006F2013" w:rsidRPr="006F2013">
        <w:rPr>
          <w:rFonts w:ascii="Times New Roman" w:hAnsi="Times New Roman" w:cs="Times New Roman"/>
          <w:sz w:val="24"/>
          <w:szCs w:val="28"/>
        </w:rPr>
        <w:t>5 075,1</w:t>
      </w:r>
      <w:r w:rsidRPr="006F2013">
        <w:rPr>
          <w:rFonts w:ascii="Times New Roman" w:hAnsi="Times New Roman" w:cs="Times New Roman"/>
          <w:sz w:val="24"/>
          <w:szCs w:val="28"/>
        </w:rPr>
        <w:t xml:space="preserve"> млн. рублей, что состав</w:t>
      </w:r>
      <w:r w:rsidR="008233D7" w:rsidRPr="006F2013">
        <w:rPr>
          <w:rFonts w:ascii="Times New Roman" w:hAnsi="Times New Roman" w:cs="Times New Roman"/>
          <w:sz w:val="24"/>
          <w:szCs w:val="28"/>
        </w:rPr>
        <w:t xml:space="preserve">ит </w:t>
      </w:r>
      <w:r w:rsidR="006F2013" w:rsidRPr="006F2013">
        <w:rPr>
          <w:rFonts w:ascii="Times New Roman" w:hAnsi="Times New Roman" w:cs="Times New Roman"/>
          <w:sz w:val="24"/>
          <w:szCs w:val="28"/>
        </w:rPr>
        <w:t>105,2</w:t>
      </w:r>
      <w:r w:rsidRPr="006F2013">
        <w:rPr>
          <w:rFonts w:ascii="Times New Roman" w:hAnsi="Times New Roman" w:cs="Times New Roman"/>
          <w:sz w:val="24"/>
          <w:szCs w:val="28"/>
        </w:rPr>
        <w:t>% в действующих ценах.</w:t>
      </w:r>
    </w:p>
    <w:p w:rsidR="00CC295E" w:rsidRPr="00D207CA" w:rsidRDefault="00CC295E" w:rsidP="00CC29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2013">
        <w:rPr>
          <w:rFonts w:ascii="Times New Roman" w:hAnsi="Times New Roman" w:cs="Times New Roman"/>
          <w:sz w:val="24"/>
          <w:szCs w:val="28"/>
        </w:rPr>
        <w:t>В 20</w:t>
      </w:r>
      <w:r w:rsidR="00BF530E" w:rsidRPr="006F2013">
        <w:rPr>
          <w:rFonts w:ascii="Times New Roman" w:hAnsi="Times New Roman" w:cs="Times New Roman"/>
          <w:sz w:val="24"/>
          <w:szCs w:val="28"/>
        </w:rPr>
        <w:t>2</w:t>
      </w:r>
      <w:r w:rsidR="006F2013" w:rsidRPr="006F2013">
        <w:rPr>
          <w:rFonts w:ascii="Times New Roman" w:hAnsi="Times New Roman" w:cs="Times New Roman"/>
          <w:sz w:val="24"/>
          <w:szCs w:val="28"/>
        </w:rPr>
        <w:t>2</w:t>
      </w:r>
      <w:r w:rsidRPr="006F2013">
        <w:rPr>
          <w:rFonts w:ascii="Times New Roman" w:hAnsi="Times New Roman" w:cs="Times New Roman"/>
          <w:sz w:val="24"/>
          <w:szCs w:val="28"/>
        </w:rPr>
        <w:t xml:space="preserve"> году объем отгруженной продукции собственного производства, выполненных работ и оказанных услуг по «чистым» видам экономической деятельности </w:t>
      </w:r>
      <w:r w:rsidRPr="00D207CA">
        <w:rPr>
          <w:rFonts w:ascii="Times New Roman" w:hAnsi="Times New Roman" w:cs="Times New Roman"/>
          <w:sz w:val="24"/>
          <w:szCs w:val="28"/>
        </w:rPr>
        <w:t xml:space="preserve">крупными и средними организациями района </w:t>
      </w:r>
      <w:r w:rsidR="00BF530E" w:rsidRPr="00D207CA">
        <w:rPr>
          <w:rFonts w:ascii="Times New Roman" w:hAnsi="Times New Roman" w:cs="Times New Roman"/>
          <w:sz w:val="24"/>
          <w:szCs w:val="28"/>
        </w:rPr>
        <w:t>прогнозируется в размерах</w:t>
      </w:r>
      <w:r w:rsidRPr="00D207CA">
        <w:rPr>
          <w:rFonts w:ascii="Times New Roman" w:hAnsi="Times New Roman" w:cs="Times New Roman"/>
          <w:sz w:val="24"/>
          <w:szCs w:val="28"/>
        </w:rPr>
        <w:t xml:space="preserve"> по консервативному варианту – 4</w:t>
      </w:r>
      <w:r w:rsidR="006F2013" w:rsidRPr="00D207CA">
        <w:rPr>
          <w:rFonts w:ascii="Times New Roman" w:hAnsi="Times New Roman" w:cs="Times New Roman"/>
          <w:sz w:val="24"/>
          <w:szCs w:val="28"/>
        </w:rPr>
        <w:t>6 598,9</w:t>
      </w:r>
      <w:r w:rsidRPr="00D207CA">
        <w:rPr>
          <w:rFonts w:ascii="Times New Roman" w:hAnsi="Times New Roman" w:cs="Times New Roman"/>
          <w:sz w:val="24"/>
          <w:szCs w:val="28"/>
        </w:rPr>
        <w:t xml:space="preserve"> млн. рублей, что составляет </w:t>
      </w:r>
      <w:r w:rsidR="00D207CA" w:rsidRPr="00D207CA">
        <w:rPr>
          <w:rFonts w:ascii="Times New Roman" w:hAnsi="Times New Roman" w:cs="Times New Roman"/>
          <w:sz w:val="24"/>
          <w:szCs w:val="28"/>
        </w:rPr>
        <w:t>103,4</w:t>
      </w:r>
      <w:r w:rsidRPr="00D207CA">
        <w:rPr>
          <w:rFonts w:ascii="Times New Roman" w:hAnsi="Times New Roman" w:cs="Times New Roman"/>
          <w:sz w:val="24"/>
          <w:szCs w:val="28"/>
        </w:rPr>
        <w:t xml:space="preserve">% в действующих </w:t>
      </w:r>
      <w:r w:rsidRPr="00D207CA">
        <w:rPr>
          <w:rFonts w:ascii="Times New Roman" w:hAnsi="Times New Roman" w:cs="Times New Roman"/>
          <w:sz w:val="24"/>
          <w:szCs w:val="28"/>
        </w:rPr>
        <w:lastRenderedPageBreak/>
        <w:t xml:space="preserve">ценах; по базовому варианту – </w:t>
      </w:r>
      <w:r w:rsidR="000D3F93" w:rsidRPr="00D207CA">
        <w:rPr>
          <w:rFonts w:ascii="Times New Roman" w:hAnsi="Times New Roman" w:cs="Times New Roman"/>
          <w:sz w:val="24"/>
          <w:szCs w:val="28"/>
        </w:rPr>
        <w:t>4</w:t>
      </w:r>
      <w:r w:rsidR="006F2013" w:rsidRPr="00D207CA">
        <w:rPr>
          <w:rFonts w:ascii="Times New Roman" w:hAnsi="Times New Roman" w:cs="Times New Roman"/>
          <w:sz w:val="24"/>
          <w:szCs w:val="28"/>
        </w:rPr>
        <w:t>7 301,</w:t>
      </w:r>
      <w:r w:rsidRPr="00D207CA">
        <w:rPr>
          <w:rFonts w:ascii="Times New Roman" w:hAnsi="Times New Roman" w:cs="Times New Roman"/>
          <w:sz w:val="24"/>
          <w:szCs w:val="28"/>
        </w:rPr>
        <w:t xml:space="preserve"> млн. рублей, что составляет 10</w:t>
      </w:r>
      <w:r w:rsidR="00D207CA" w:rsidRPr="00D207CA">
        <w:rPr>
          <w:rFonts w:ascii="Times New Roman" w:hAnsi="Times New Roman" w:cs="Times New Roman"/>
          <w:sz w:val="24"/>
          <w:szCs w:val="28"/>
        </w:rPr>
        <w:t>4,9</w:t>
      </w:r>
      <w:r w:rsidR="00BF530E" w:rsidRPr="00D207CA">
        <w:rPr>
          <w:rFonts w:ascii="Times New Roman" w:hAnsi="Times New Roman" w:cs="Times New Roman"/>
          <w:sz w:val="24"/>
          <w:szCs w:val="28"/>
        </w:rPr>
        <w:t>%</w:t>
      </w:r>
      <w:r w:rsidR="006F2013" w:rsidRPr="00D207CA">
        <w:rPr>
          <w:rFonts w:ascii="Times New Roman" w:hAnsi="Times New Roman" w:cs="Times New Roman"/>
          <w:sz w:val="24"/>
          <w:szCs w:val="28"/>
        </w:rPr>
        <w:t xml:space="preserve"> в действующих ценах</w:t>
      </w:r>
      <w:r w:rsidRPr="00D207CA">
        <w:rPr>
          <w:rFonts w:ascii="Times New Roman" w:hAnsi="Times New Roman" w:cs="Times New Roman"/>
          <w:sz w:val="24"/>
          <w:szCs w:val="28"/>
        </w:rPr>
        <w:t>.</w:t>
      </w:r>
    </w:p>
    <w:p w:rsidR="00CC295E" w:rsidRPr="00515CBA" w:rsidRDefault="00CC295E" w:rsidP="00CC29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F2013">
        <w:rPr>
          <w:rFonts w:ascii="Times New Roman" w:hAnsi="Times New Roman" w:cs="Times New Roman"/>
          <w:sz w:val="24"/>
          <w:szCs w:val="28"/>
        </w:rPr>
        <w:t>В 202</w:t>
      </w:r>
      <w:r w:rsidR="006F2013" w:rsidRPr="006F2013">
        <w:rPr>
          <w:rFonts w:ascii="Times New Roman" w:hAnsi="Times New Roman" w:cs="Times New Roman"/>
          <w:sz w:val="24"/>
          <w:szCs w:val="28"/>
        </w:rPr>
        <w:t>3</w:t>
      </w:r>
      <w:r w:rsidRPr="006F2013">
        <w:rPr>
          <w:rFonts w:ascii="Times New Roman" w:hAnsi="Times New Roman" w:cs="Times New Roman"/>
          <w:sz w:val="24"/>
          <w:szCs w:val="28"/>
        </w:rPr>
        <w:t xml:space="preserve"> году объем отгруженной продукции собственного производства, выполненных работ и оказанных услуг по «чистым» видам экономической деятельности </w:t>
      </w:r>
      <w:r w:rsidRPr="00515CBA">
        <w:rPr>
          <w:rFonts w:ascii="Times New Roman" w:hAnsi="Times New Roman" w:cs="Times New Roman"/>
          <w:sz w:val="24"/>
          <w:szCs w:val="28"/>
        </w:rPr>
        <w:t xml:space="preserve">крупными и средними организациями района </w:t>
      </w:r>
      <w:r w:rsidR="004F68F8" w:rsidRPr="00515CBA">
        <w:rPr>
          <w:rFonts w:ascii="Times New Roman" w:hAnsi="Times New Roman" w:cs="Times New Roman"/>
          <w:sz w:val="24"/>
          <w:szCs w:val="28"/>
        </w:rPr>
        <w:t>прогнозируется</w:t>
      </w:r>
      <w:r w:rsidRPr="00515CBA">
        <w:rPr>
          <w:rFonts w:ascii="Times New Roman" w:hAnsi="Times New Roman" w:cs="Times New Roman"/>
          <w:sz w:val="24"/>
          <w:szCs w:val="28"/>
        </w:rPr>
        <w:t xml:space="preserve"> в размер</w:t>
      </w:r>
      <w:r w:rsidR="004F68F8" w:rsidRPr="00515CBA">
        <w:rPr>
          <w:rFonts w:ascii="Times New Roman" w:hAnsi="Times New Roman" w:cs="Times New Roman"/>
          <w:sz w:val="24"/>
          <w:szCs w:val="28"/>
        </w:rPr>
        <w:t>ах</w:t>
      </w:r>
      <w:r w:rsidRPr="00515CBA">
        <w:rPr>
          <w:rFonts w:ascii="Times New Roman" w:hAnsi="Times New Roman" w:cs="Times New Roman"/>
          <w:sz w:val="24"/>
          <w:szCs w:val="28"/>
        </w:rPr>
        <w:t xml:space="preserve"> по консервативному варианту – </w:t>
      </w:r>
      <w:r w:rsidR="006F2013" w:rsidRPr="00515CBA">
        <w:rPr>
          <w:rFonts w:ascii="Times New Roman" w:hAnsi="Times New Roman" w:cs="Times New Roman"/>
          <w:sz w:val="24"/>
          <w:szCs w:val="28"/>
        </w:rPr>
        <w:t>48 462,9</w:t>
      </w:r>
      <w:r w:rsidRPr="00515CBA">
        <w:rPr>
          <w:rFonts w:ascii="Times New Roman" w:hAnsi="Times New Roman" w:cs="Times New Roman"/>
          <w:sz w:val="24"/>
          <w:szCs w:val="28"/>
        </w:rPr>
        <w:t xml:space="preserve"> млн. рублей, что составляет </w:t>
      </w:r>
      <w:r w:rsidR="00515CBA" w:rsidRPr="00515CBA">
        <w:rPr>
          <w:rFonts w:ascii="Times New Roman" w:hAnsi="Times New Roman" w:cs="Times New Roman"/>
          <w:sz w:val="24"/>
          <w:szCs w:val="28"/>
        </w:rPr>
        <w:t>104,0</w:t>
      </w:r>
      <w:r w:rsidRPr="00515CBA">
        <w:rPr>
          <w:rFonts w:ascii="Times New Roman" w:hAnsi="Times New Roman" w:cs="Times New Roman"/>
          <w:sz w:val="24"/>
          <w:szCs w:val="28"/>
        </w:rPr>
        <w:t xml:space="preserve">% в действующих ценах; по базовому варианту – </w:t>
      </w:r>
      <w:r w:rsidR="000D3F93" w:rsidRPr="00515CBA">
        <w:rPr>
          <w:rFonts w:ascii="Times New Roman" w:hAnsi="Times New Roman" w:cs="Times New Roman"/>
          <w:sz w:val="24"/>
          <w:szCs w:val="28"/>
        </w:rPr>
        <w:t>4</w:t>
      </w:r>
      <w:r w:rsidR="006F2013" w:rsidRPr="00515CBA">
        <w:rPr>
          <w:rFonts w:ascii="Times New Roman" w:hAnsi="Times New Roman" w:cs="Times New Roman"/>
          <w:sz w:val="24"/>
          <w:szCs w:val="28"/>
        </w:rPr>
        <w:t>9 979,4</w:t>
      </w:r>
      <w:r w:rsidRPr="00515CBA">
        <w:rPr>
          <w:rFonts w:ascii="Times New Roman" w:hAnsi="Times New Roman" w:cs="Times New Roman"/>
          <w:sz w:val="24"/>
          <w:szCs w:val="28"/>
        </w:rPr>
        <w:t xml:space="preserve"> млн. рублей, что составляет 10</w:t>
      </w:r>
      <w:r w:rsidR="00515CBA" w:rsidRPr="00515CBA">
        <w:rPr>
          <w:rFonts w:ascii="Times New Roman" w:hAnsi="Times New Roman" w:cs="Times New Roman"/>
          <w:sz w:val="24"/>
          <w:szCs w:val="28"/>
        </w:rPr>
        <w:t>5,7</w:t>
      </w:r>
      <w:r w:rsidR="006F2013" w:rsidRPr="00515CBA">
        <w:rPr>
          <w:rFonts w:ascii="Times New Roman" w:hAnsi="Times New Roman" w:cs="Times New Roman"/>
          <w:sz w:val="24"/>
          <w:szCs w:val="28"/>
        </w:rPr>
        <w:t>% в действующих ценах</w:t>
      </w:r>
      <w:r w:rsidRPr="00515CBA">
        <w:rPr>
          <w:rFonts w:ascii="Times New Roman" w:hAnsi="Times New Roman" w:cs="Times New Roman"/>
          <w:sz w:val="24"/>
          <w:szCs w:val="28"/>
        </w:rPr>
        <w:t>.</w:t>
      </w:r>
    </w:p>
    <w:p w:rsidR="00CC295E" w:rsidRPr="009C1B81" w:rsidRDefault="00CC295E" w:rsidP="00CC29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C5738">
        <w:rPr>
          <w:rFonts w:ascii="Times New Roman" w:hAnsi="Times New Roman" w:cs="Times New Roman"/>
          <w:sz w:val="24"/>
          <w:szCs w:val="28"/>
        </w:rPr>
        <w:t>В 202</w:t>
      </w:r>
      <w:r w:rsidR="003C5738" w:rsidRPr="003C5738">
        <w:rPr>
          <w:rFonts w:ascii="Times New Roman" w:hAnsi="Times New Roman" w:cs="Times New Roman"/>
          <w:sz w:val="24"/>
          <w:szCs w:val="28"/>
        </w:rPr>
        <w:t>4</w:t>
      </w:r>
      <w:r w:rsidRPr="003C5738">
        <w:rPr>
          <w:rFonts w:ascii="Times New Roman" w:hAnsi="Times New Roman" w:cs="Times New Roman"/>
          <w:sz w:val="24"/>
          <w:szCs w:val="28"/>
        </w:rPr>
        <w:t xml:space="preserve">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ожидается в размер</w:t>
      </w:r>
      <w:r w:rsidR="00112087" w:rsidRPr="003C5738">
        <w:rPr>
          <w:rFonts w:ascii="Times New Roman" w:hAnsi="Times New Roman" w:cs="Times New Roman"/>
          <w:sz w:val="24"/>
          <w:szCs w:val="28"/>
        </w:rPr>
        <w:t>ах</w:t>
      </w:r>
      <w:r w:rsidRPr="003C5738">
        <w:rPr>
          <w:rFonts w:ascii="Times New Roman" w:hAnsi="Times New Roman" w:cs="Times New Roman"/>
          <w:sz w:val="24"/>
          <w:szCs w:val="28"/>
        </w:rPr>
        <w:t xml:space="preserve"> по консервативному </w:t>
      </w:r>
      <w:r w:rsidRPr="009C1B81">
        <w:rPr>
          <w:rFonts w:ascii="Times New Roman" w:hAnsi="Times New Roman" w:cs="Times New Roman"/>
          <w:sz w:val="24"/>
          <w:szCs w:val="28"/>
        </w:rPr>
        <w:t xml:space="preserve">варианту – </w:t>
      </w:r>
      <w:r w:rsidR="003C5738" w:rsidRPr="009C1B81">
        <w:rPr>
          <w:rFonts w:ascii="Times New Roman" w:hAnsi="Times New Roman" w:cs="Times New Roman"/>
          <w:sz w:val="24"/>
          <w:szCs w:val="28"/>
        </w:rPr>
        <w:t>50 799,5</w:t>
      </w:r>
      <w:r w:rsidRPr="009C1B81">
        <w:rPr>
          <w:rFonts w:ascii="Times New Roman" w:hAnsi="Times New Roman" w:cs="Times New Roman"/>
          <w:sz w:val="24"/>
          <w:szCs w:val="28"/>
        </w:rPr>
        <w:t xml:space="preserve"> млн. руб</w:t>
      </w:r>
      <w:r w:rsidR="00814E6F" w:rsidRPr="009C1B81">
        <w:rPr>
          <w:rFonts w:ascii="Times New Roman" w:hAnsi="Times New Roman" w:cs="Times New Roman"/>
          <w:sz w:val="24"/>
          <w:szCs w:val="28"/>
        </w:rPr>
        <w:t>лей, что составляет 10</w:t>
      </w:r>
      <w:r w:rsidR="009C1B81" w:rsidRPr="009C1B81">
        <w:rPr>
          <w:rFonts w:ascii="Times New Roman" w:hAnsi="Times New Roman" w:cs="Times New Roman"/>
          <w:sz w:val="24"/>
          <w:szCs w:val="28"/>
        </w:rPr>
        <w:t>4</w:t>
      </w:r>
      <w:r w:rsidR="00FD1B33" w:rsidRPr="009C1B81">
        <w:rPr>
          <w:rFonts w:ascii="Times New Roman" w:hAnsi="Times New Roman" w:cs="Times New Roman"/>
          <w:sz w:val="24"/>
          <w:szCs w:val="28"/>
        </w:rPr>
        <w:t>,8</w:t>
      </w:r>
      <w:r w:rsidRPr="009C1B81">
        <w:rPr>
          <w:rFonts w:ascii="Times New Roman" w:hAnsi="Times New Roman" w:cs="Times New Roman"/>
          <w:sz w:val="24"/>
          <w:szCs w:val="28"/>
        </w:rPr>
        <w:t xml:space="preserve">% в действующих ценах; по базовому варианту – </w:t>
      </w:r>
      <w:r w:rsidR="003C5738" w:rsidRPr="009C1B81">
        <w:rPr>
          <w:rFonts w:ascii="Times New Roman" w:hAnsi="Times New Roman" w:cs="Times New Roman"/>
          <w:sz w:val="24"/>
          <w:szCs w:val="28"/>
        </w:rPr>
        <w:t>53 171,1</w:t>
      </w:r>
      <w:r w:rsidRPr="009C1B81">
        <w:rPr>
          <w:rFonts w:ascii="Times New Roman" w:hAnsi="Times New Roman" w:cs="Times New Roman"/>
          <w:sz w:val="24"/>
          <w:szCs w:val="28"/>
        </w:rPr>
        <w:t xml:space="preserve"> млн. рублей, что составляет 10</w:t>
      </w:r>
      <w:r w:rsidR="009C1B81" w:rsidRPr="009C1B81">
        <w:rPr>
          <w:rFonts w:ascii="Times New Roman" w:hAnsi="Times New Roman" w:cs="Times New Roman"/>
          <w:sz w:val="24"/>
          <w:szCs w:val="28"/>
        </w:rPr>
        <w:t>6,4</w:t>
      </w:r>
      <w:r w:rsidR="003C5738" w:rsidRPr="009C1B81">
        <w:rPr>
          <w:rFonts w:ascii="Times New Roman" w:hAnsi="Times New Roman" w:cs="Times New Roman"/>
          <w:sz w:val="24"/>
          <w:szCs w:val="28"/>
        </w:rPr>
        <w:t>% в действующих ценах</w:t>
      </w:r>
      <w:r w:rsidRPr="009C1B81">
        <w:rPr>
          <w:rFonts w:ascii="Times New Roman" w:hAnsi="Times New Roman" w:cs="Times New Roman"/>
          <w:sz w:val="24"/>
          <w:szCs w:val="28"/>
        </w:rPr>
        <w:t>.</w:t>
      </w:r>
    </w:p>
    <w:p w:rsidR="00112087" w:rsidRPr="009C1B81" w:rsidRDefault="00112087" w:rsidP="00CC29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7E5914" w:rsidRPr="00864FD1" w:rsidRDefault="00514D9E" w:rsidP="00514D9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7C28">
        <w:rPr>
          <w:rFonts w:ascii="Times New Roman" w:hAnsi="Times New Roman" w:cs="Times New Roman"/>
          <w:sz w:val="24"/>
          <w:szCs w:val="28"/>
        </w:rPr>
        <w:t>По итогам 20</w:t>
      </w:r>
      <w:r w:rsidR="009C1B81" w:rsidRPr="00CA7C28">
        <w:rPr>
          <w:rFonts w:ascii="Times New Roman" w:hAnsi="Times New Roman" w:cs="Times New Roman"/>
          <w:sz w:val="24"/>
          <w:szCs w:val="28"/>
        </w:rPr>
        <w:t>20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года индекс </w:t>
      </w:r>
      <w:r w:rsidR="005B0D59" w:rsidRPr="00CA7C28">
        <w:rPr>
          <w:rFonts w:ascii="Times New Roman" w:hAnsi="Times New Roman" w:cs="Times New Roman"/>
          <w:sz w:val="24"/>
          <w:szCs w:val="28"/>
        </w:rPr>
        <w:t xml:space="preserve">промышленного </w:t>
      </w:r>
      <w:r w:rsidRPr="00CA7C28">
        <w:rPr>
          <w:rFonts w:ascii="Times New Roman" w:hAnsi="Times New Roman" w:cs="Times New Roman"/>
          <w:sz w:val="24"/>
          <w:szCs w:val="28"/>
        </w:rPr>
        <w:t xml:space="preserve">производства по основным видам деятельности, по полному кругу организаций-производителей, составил </w:t>
      </w:r>
      <w:r w:rsidR="00CA7C28" w:rsidRPr="00CA7C28">
        <w:rPr>
          <w:rFonts w:ascii="Times New Roman" w:hAnsi="Times New Roman" w:cs="Times New Roman"/>
          <w:sz w:val="24"/>
          <w:szCs w:val="28"/>
        </w:rPr>
        <w:t>94,8</w:t>
      </w:r>
      <w:r w:rsidRPr="00CA7C28">
        <w:rPr>
          <w:rFonts w:ascii="Times New Roman" w:hAnsi="Times New Roman" w:cs="Times New Roman"/>
          <w:sz w:val="24"/>
          <w:szCs w:val="28"/>
        </w:rPr>
        <w:t>%</w:t>
      </w:r>
      <w:r w:rsidR="007E5914" w:rsidRPr="00CA7C28">
        <w:rPr>
          <w:rFonts w:ascii="Times New Roman" w:hAnsi="Times New Roman" w:cs="Times New Roman"/>
          <w:sz w:val="24"/>
          <w:szCs w:val="28"/>
        </w:rPr>
        <w:t xml:space="preserve">, что </w:t>
      </w:r>
      <w:r w:rsidR="007E5914" w:rsidRPr="00DF624C">
        <w:rPr>
          <w:rFonts w:ascii="Times New Roman" w:hAnsi="Times New Roman" w:cs="Times New Roman"/>
          <w:sz w:val="24"/>
          <w:szCs w:val="28"/>
        </w:rPr>
        <w:t>обусловлено индексом производства в об</w:t>
      </w:r>
      <w:r w:rsidR="00D64F71" w:rsidRPr="00DF624C">
        <w:rPr>
          <w:rFonts w:ascii="Times New Roman" w:hAnsi="Times New Roman" w:cs="Times New Roman"/>
          <w:sz w:val="24"/>
          <w:szCs w:val="28"/>
        </w:rPr>
        <w:t xml:space="preserve">рабатывающих производствах – </w:t>
      </w:r>
      <w:r w:rsidR="00DF624C" w:rsidRPr="00DF624C">
        <w:rPr>
          <w:rFonts w:ascii="Times New Roman" w:hAnsi="Times New Roman" w:cs="Times New Roman"/>
          <w:sz w:val="24"/>
          <w:szCs w:val="28"/>
        </w:rPr>
        <w:t>95,9</w:t>
      </w:r>
      <w:r w:rsidR="007E5914" w:rsidRPr="00DF624C">
        <w:rPr>
          <w:rFonts w:ascii="Times New Roman" w:hAnsi="Times New Roman" w:cs="Times New Roman"/>
          <w:sz w:val="24"/>
          <w:szCs w:val="28"/>
        </w:rPr>
        <w:t>%</w:t>
      </w:r>
      <w:r w:rsidRPr="00DF624C">
        <w:rPr>
          <w:rFonts w:ascii="Times New Roman" w:hAnsi="Times New Roman" w:cs="Times New Roman"/>
          <w:sz w:val="24"/>
          <w:szCs w:val="28"/>
        </w:rPr>
        <w:t xml:space="preserve"> </w:t>
      </w:r>
      <w:r w:rsidR="007E5914" w:rsidRPr="00DF624C">
        <w:rPr>
          <w:rFonts w:ascii="Times New Roman" w:hAnsi="Times New Roman" w:cs="Times New Roman"/>
          <w:sz w:val="24"/>
          <w:szCs w:val="28"/>
        </w:rPr>
        <w:t>оказывающих наибольшее влияние на динамику индекса производства в целом по району.</w:t>
      </w:r>
      <w:r w:rsidR="005F5814" w:rsidRPr="00DF624C">
        <w:rPr>
          <w:rFonts w:ascii="Times New Roman" w:hAnsi="Times New Roman" w:cs="Times New Roman"/>
          <w:sz w:val="24"/>
          <w:szCs w:val="28"/>
        </w:rPr>
        <w:t xml:space="preserve"> Индекс промышленного производства по добыч</w:t>
      </w:r>
      <w:r w:rsidR="00D64F71" w:rsidRPr="00DF624C">
        <w:rPr>
          <w:rFonts w:ascii="Times New Roman" w:hAnsi="Times New Roman" w:cs="Times New Roman"/>
          <w:sz w:val="24"/>
          <w:szCs w:val="28"/>
        </w:rPr>
        <w:t xml:space="preserve">е полезных ископаемых составил </w:t>
      </w:r>
      <w:r w:rsidR="00DF624C" w:rsidRPr="00DF624C">
        <w:rPr>
          <w:rFonts w:ascii="Times New Roman" w:hAnsi="Times New Roman" w:cs="Times New Roman"/>
          <w:sz w:val="24"/>
          <w:szCs w:val="28"/>
        </w:rPr>
        <w:t>84,4</w:t>
      </w:r>
      <w:r w:rsidR="005F5814" w:rsidRPr="00DF624C">
        <w:rPr>
          <w:rFonts w:ascii="Times New Roman" w:hAnsi="Times New Roman" w:cs="Times New Roman"/>
          <w:sz w:val="24"/>
          <w:szCs w:val="28"/>
        </w:rPr>
        <w:t xml:space="preserve">%. По видам деятельности </w:t>
      </w:r>
      <w:r w:rsidR="005F5814" w:rsidRPr="00DF624C">
        <w:rPr>
          <w:rFonts w:ascii="Times New Roman" w:hAnsi="Times New Roman" w:cs="Times New Roman"/>
          <w:sz w:val="24"/>
          <w:szCs w:val="24"/>
        </w:rPr>
        <w:t>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 индекс производства к уровню 201</w:t>
      </w:r>
      <w:r w:rsidR="00DF624C" w:rsidRPr="00DF624C">
        <w:rPr>
          <w:rFonts w:ascii="Times New Roman" w:hAnsi="Times New Roman" w:cs="Times New Roman"/>
          <w:sz w:val="24"/>
          <w:szCs w:val="24"/>
        </w:rPr>
        <w:t>9</w:t>
      </w:r>
      <w:r w:rsidR="005F5814" w:rsidRPr="00DF624C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DF624C" w:rsidRPr="00DF624C">
        <w:rPr>
          <w:rFonts w:ascii="Times New Roman" w:hAnsi="Times New Roman" w:cs="Times New Roman"/>
          <w:sz w:val="24"/>
          <w:szCs w:val="24"/>
        </w:rPr>
        <w:t>101,1</w:t>
      </w:r>
      <w:r w:rsidR="005F5814" w:rsidRPr="00DF624C">
        <w:rPr>
          <w:rFonts w:ascii="Times New Roman" w:hAnsi="Times New Roman" w:cs="Times New Roman"/>
          <w:sz w:val="24"/>
          <w:szCs w:val="24"/>
        </w:rPr>
        <w:t xml:space="preserve">% и </w:t>
      </w:r>
      <w:r w:rsidR="00DF624C" w:rsidRPr="00DF624C">
        <w:rPr>
          <w:rFonts w:ascii="Times New Roman" w:hAnsi="Times New Roman" w:cs="Times New Roman"/>
          <w:sz w:val="24"/>
          <w:szCs w:val="24"/>
        </w:rPr>
        <w:t>99,1</w:t>
      </w:r>
      <w:r w:rsidR="005F5814" w:rsidRPr="00DF624C">
        <w:rPr>
          <w:rFonts w:ascii="Times New Roman" w:hAnsi="Times New Roman" w:cs="Times New Roman"/>
          <w:sz w:val="24"/>
          <w:szCs w:val="24"/>
        </w:rPr>
        <w:t>% соответственно.</w:t>
      </w:r>
    </w:p>
    <w:p w:rsidR="00146A5C" w:rsidRPr="00CA7C28" w:rsidRDefault="00146A5C" w:rsidP="00514D9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A7C28">
        <w:rPr>
          <w:rFonts w:ascii="Times New Roman" w:hAnsi="Times New Roman" w:cs="Times New Roman"/>
          <w:sz w:val="24"/>
          <w:szCs w:val="28"/>
        </w:rPr>
        <w:t>В 20</w:t>
      </w:r>
      <w:r w:rsidR="00B926FC" w:rsidRPr="00CA7C28">
        <w:rPr>
          <w:rFonts w:ascii="Times New Roman" w:hAnsi="Times New Roman" w:cs="Times New Roman"/>
          <w:sz w:val="24"/>
          <w:szCs w:val="28"/>
        </w:rPr>
        <w:t>2</w:t>
      </w:r>
      <w:r w:rsidR="00CA7C28" w:rsidRPr="00CA7C28">
        <w:rPr>
          <w:rFonts w:ascii="Times New Roman" w:hAnsi="Times New Roman" w:cs="Times New Roman"/>
          <w:sz w:val="24"/>
          <w:szCs w:val="28"/>
        </w:rPr>
        <w:t>1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году по сравнению с 20</w:t>
      </w:r>
      <w:r w:rsidR="00CA7C28" w:rsidRPr="00CA7C28">
        <w:rPr>
          <w:rFonts w:ascii="Times New Roman" w:hAnsi="Times New Roman" w:cs="Times New Roman"/>
          <w:sz w:val="24"/>
          <w:szCs w:val="28"/>
        </w:rPr>
        <w:t>20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годом индекс промышленного производства по основным видам деятельности оценивается на уровне </w:t>
      </w:r>
      <w:r w:rsidR="00CA7C28" w:rsidRPr="00CA7C28">
        <w:rPr>
          <w:rFonts w:ascii="Times New Roman" w:hAnsi="Times New Roman" w:cs="Times New Roman"/>
          <w:sz w:val="24"/>
          <w:szCs w:val="28"/>
        </w:rPr>
        <w:t>101,0</w:t>
      </w:r>
      <w:r w:rsidRPr="00CA7C28">
        <w:rPr>
          <w:rFonts w:ascii="Times New Roman" w:hAnsi="Times New Roman" w:cs="Times New Roman"/>
          <w:sz w:val="24"/>
          <w:szCs w:val="28"/>
        </w:rPr>
        <w:t>%.</w:t>
      </w:r>
    </w:p>
    <w:p w:rsidR="00A14DDD" w:rsidRPr="00CA7C28" w:rsidRDefault="00A14DDD" w:rsidP="00514D9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CA7C28">
        <w:rPr>
          <w:rFonts w:ascii="Times New Roman" w:hAnsi="Times New Roman" w:cs="Times New Roman"/>
          <w:sz w:val="24"/>
          <w:szCs w:val="28"/>
        </w:rPr>
        <w:t>В 202</w:t>
      </w:r>
      <w:r w:rsidR="00CA7C28" w:rsidRPr="00CA7C28">
        <w:rPr>
          <w:rFonts w:ascii="Times New Roman" w:hAnsi="Times New Roman" w:cs="Times New Roman"/>
          <w:sz w:val="24"/>
          <w:szCs w:val="28"/>
        </w:rPr>
        <w:t>2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году индекс промышленного производства по сравнению с уровнем 20</w:t>
      </w:r>
      <w:r w:rsidR="00D64F71" w:rsidRPr="00CA7C28">
        <w:rPr>
          <w:rFonts w:ascii="Times New Roman" w:hAnsi="Times New Roman" w:cs="Times New Roman"/>
          <w:sz w:val="24"/>
          <w:szCs w:val="28"/>
        </w:rPr>
        <w:t>2</w:t>
      </w:r>
      <w:r w:rsidR="00CA7C28" w:rsidRPr="00CA7C28">
        <w:rPr>
          <w:rFonts w:ascii="Times New Roman" w:hAnsi="Times New Roman" w:cs="Times New Roman"/>
          <w:sz w:val="24"/>
          <w:szCs w:val="28"/>
        </w:rPr>
        <w:t>1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года по консервативному варианту прогнозируется на уровне </w:t>
      </w:r>
      <w:r w:rsidR="00B926FC" w:rsidRPr="00CA7C28">
        <w:rPr>
          <w:rFonts w:ascii="Times New Roman" w:hAnsi="Times New Roman" w:cs="Times New Roman"/>
          <w:sz w:val="24"/>
          <w:szCs w:val="28"/>
        </w:rPr>
        <w:t>9</w:t>
      </w:r>
      <w:r w:rsidR="00CA7C28" w:rsidRPr="00CA7C28">
        <w:rPr>
          <w:rFonts w:ascii="Times New Roman" w:hAnsi="Times New Roman" w:cs="Times New Roman"/>
          <w:sz w:val="24"/>
          <w:szCs w:val="28"/>
        </w:rPr>
        <w:t>9,5</w:t>
      </w:r>
      <w:r w:rsidRPr="00CA7C28">
        <w:rPr>
          <w:rFonts w:ascii="Times New Roman" w:hAnsi="Times New Roman" w:cs="Times New Roman"/>
          <w:sz w:val="24"/>
          <w:szCs w:val="28"/>
        </w:rPr>
        <w:t xml:space="preserve">%, по базовому варианту – </w:t>
      </w:r>
      <w:r w:rsidR="00CA7C28" w:rsidRPr="00CA7C28">
        <w:rPr>
          <w:rFonts w:ascii="Times New Roman" w:hAnsi="Times New Roman" w:cs="Times New Roman"/>
          <w:sz w:val="24"/>
          <w:szCs w:val="28"/>
        </w:rPr>
        <w:t>101,0</w:t>
      </w:r>
      <w:r w:rsidRPr="00CA7C28">
        <w:rPr>
          <w:rFonts w:ascii="Times New Roman" w:hAnsi="Times New Roman" w:cs="Times New Roman"/>
          <w:sz w:val="24"/>
          <w:szCs w:val="28"/>
        </w:rPr>
        <w:t>%.</w:t>
      </w:r>
    </w:p>
    <w:p w:rsidR="00A14DDD" w:rsidRPr="00CA7C28" w:rsidRDefault="00A14DDD" w:rsidP="00A14DDD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CA7C28">
        <w:rPr>
          <w:rFonts w:ascii="Times New Roman" w:hAnsi="Times New Roman" w:cs="Times New Roman"/>
          <w:sz w:val="24"/>
          <w:szCs w:val="28"/>
        </w:rPr>
        <w:t>В 202</w:t>
      </w:r>
      <w:r w:rsidR="00CA7C28" w:rsidRPr="00CA7C28">
        <w:rPr>
          <w:rFonts w:ascii="Times New Roman" w:hAnsi="Times New Roman" w:cs="Times New Roman"/>
          <w:sz w:val="24"/>
          <w:szCs w:val="28"/>
        </w:rPr>
        <w:t>3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году индекс промышленного производства по сравнению с уровнем 202</w:t>
      </w:r>
      <w:r w:rsidR="00CA7C28" w:rsidRPr="00CA7C28">
        <w:rPr>
          <w:rFonts w:ascii="Times New Roman" w:hAnsi="Times New Roman" w:cs="Times New Roman"/>
          <w:sz w:val="24"/>
          <w:szCs w:val="28"/>
        </w:rPr>
        <w:t>2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года по консервативному варианту прогнозируется на уровне </w:t>
      </w:r>
      <w:r w:rsidR="00CA7C28" w:rsidRPr="00CA7C28">
        <w:rPr>
          <w:rFonts w:ascii="Times New Roman" w:hAnsi="Times New Roman" w:cs="Times New Roman"/>
          <w:sz w:val="24"/>
          <w:szCs w:val="28"/>
        </w:rPr>
        <w:t>100,0</w:t>
      </w:r>
      <w:r w:rsidRPr="00CA7C28">
        <w:rPr>
          <w:rFonts w:ascii="Times New Roman" w:hAnsi="Times New Roman" w:cs="Times New Roman"/>
          <w:sz w:val="24"/>
          <w:szCs w:val="28"/>
        </w:rPr>
        <w:t xml:space="preserve">%, по базовому варианту – </w:t>
      </w:r>
      <w:r w:rsidR="00CA7C28" w:rsidRPr="00CA7C28">
        <w:rPr>
          <w:rFonts w:ascii="Times New Roman" w:hAnsi="Times New Roman" w:cs="Times New Roman"/>
          <w:sz w:val="24"/>
          <w:szCs w:val="28"/>
        </w:rPr>
        <w:t>101</w:t>
      </w:r>
      <w:r w:rsidR="00D64F71" w:rsidRPr="00CA7C28">
        <w:rPr>
          <w:rFonts w:ascii="Times New Roman" w:hAnsi="Times New Roman" w:cs="Times New Roman"/>
          <w:sz w:val="24"/>
          <w:szCs w:val="28"/>
        </w:rPr>
        <w:t>,5</w:t>
      </w:r>
      <w:r w:rsidRPr="00CA7C28">
        <w:rPr>
          <w:rFonts w:ascii="Times New Roman" w:hAnsi="Times New Roman" w:cs="Times New Roman"/>
          <w:sz w:val="24"/>
          <w:szCs w:val="28"/>
        </w:rPr>
        <w:t>%.</w:t>
      </w:r>
    </w:p>
    <w:p w:rsidR="00D64F71" w:rsidRPr="00CA7C28" w:rsidRDefault="00D64F71" w:rsidP="00D64F71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CA7C28">
        <w:rPr>
          <w:rFonts w:ascii="Times New Roman" w:hAnsi="Times New Roman" w:cs="Times New Roman"/>
          <w:sz w:val="24"/>
          <w:szCs w:val="28"/>
        </w:rPr>
        <w:t>В 202</w:t>
      </w:r>
      <w:r w:rsidR="00CA7C28" w:rsidRPr="00CA7C28">
        <w:rPr>
          <w:rFonts w:ascii="Times New Roman" w:hAnsi="Times New Roman" w:cs="Times New Roman"/>
          <w:sz w:val="24"/>
          <w:szCs w:val="28"/>
        </w:rPr>
        <w:t>4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году индекс промышленного производства по сравнению с уровнем 202</w:t>
      </w:r>
      <w:r w:rsidR="00CA7C28" w:rsidRPr="00CA7C28">
        <w:rPr>
          <w:rFonts w:ascii="Times New Roman" w:hAnsi="Times New Roman" w:cs="Times New Roman"/>
          <w:sz w:val="24"/>
          <w:szCs w:val="28"/>
        </w:rPr>
        <w:t>3</w:t>
      </w:r>
      <w:r w:rsidRPr="00CA7C28">
        <w:rPr>
          <w:rFonts w:ascii="Times New Roman" w:hAnsi="Times New Roman" w:cs="Times New Roman"/>
          <w:sz w:val="24"/>
          <w:szCs w:val="28"/>
        </w:rPr>
        <w:t xml:space="preserve"> года по консервативному варианту прогнозируется на уровне </w:t>
      </w:r>
      <w:r w:rsidR="00CA7C28" w:rsidRPr="00CA7C28">
        <w:rPr>
          <w:rFonts w:ascii="Times New Roman" w:hAnsi="Times New Roman" w:cs="Times New Roman"/>
          <w:sz w:val="24"/>
          <w:szCs w:val="28"/>
        </w:rPr>
        <w:t>100,5</w:t>
      </w:r>
      <w:r w:rsidRPr="00CA7C28">
        <w:rPr>
          <w:rFonts w:ascii="Times New Roman" w:hAnsi="Times New Roman" w:cs="Times New Roman"/>
          <w:sz w:val="24"/>
          <w:szCs w:val="28"/>
        </w:rPr>
        <w:t>%, по базовому варианту – 10</w:t>
      </w:r>
      <w:r w:rsidR="00CA7C28" w:rsidRPr="00CA7C28">
        <w:rPr>
          <w:rFonts w:ascii="Times New Roman" w:hAnsi="Times New Roman" w:cs="Times New Roman"/>
          <w:sz w:val="24"/>
          <w:szCs w:val="28"/>
        </w:rPr>
        <w:t>2,0</w:t>
      </w:r>
      <w:r w:rsidRPr="00CA7C28">
        <w:rPr>
          <w:rFonts w:ascii="Times New Roman" w:hAnsi="Times New Roman" w:cs="Times New Roman"/>
          <w:sz w:val="24"/>
          <w:szCs w:val="28"/>
        </w:rPr>
        <w:t>%.</w:t>
      </w:r>
    </w:p>
    <w:p w:rsidR="00AA6027" w:rsidRDefault="00AA6027" w:rsidP="00D64F71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Cs w:val="24"/>
        </w:rPr>
      </w:pPr>
    </w:p>
    <w:p w:rsidR="00F308EA" w:rsidRPr="00F26DA4" w:rsidRDefault="00F308E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6DA4">
        <w:rPr>
          <w:rFonts w:ascii="Times New Roman" w:hAnsi="Times New Roman" w:cs="Times New Roman"/>
          <w:b/>
          <w:sz w:val="24"/>
          <w:szCs w:val="28"/>
        </w:rPr>
        <w:lastRenderedPageBreak/>
        <w:t>Сельское хозяйство</w:t>
      </w:r>
    </w:p>
    <w:p w:rsidR="00796F95" w:rsidRPr="00C55785" w:rsidRDefault="00796F95" w:rsidP="00796F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26DA4">
        <w:rPr>
          <w:rFonts w:ascii="Times New Roman" w:hAnsi="Times New Roman" w:cs="Times New Roman"/>
          <w:sz w:val="24"/>
        </w:rPr>
        <w:t xml:space="preserve">Фактические показатели за </w:t>
      </w:r>
      <w:r w:rsidR="00F26DA4" w:rsidRPr="00F26DA4">
        <w:rPr>
          <w:rFonts w:ascii="Times New Roman" w:hAnsi="Times New Roman" w:cs="Times New Roman"/>
          <w:sz w:val="24"/>
        </w:rPr>
        <w:t>2020</w:t>
      </w:r>
      <w:r w:rsidRPr="00F26DA4">
        <w:rPr>
          <w:rFonts w:ascii="Times New Roman" w:hAnsi="Times New Roman" w:cs="Times New Roman"/>
          <w:sz w:val="24"/>
        </w:rPr>
        <w:t xml:space="preserve"> год по объему произведенной сельскохозяйственной продукции рассчитаны Территориальным органом Федеральной службы государственной статистики по </w:t>
      </w:r>
      <w:r w:rsidRPr="00C55785">
        <w:rPr>
          <w:rFonts w:ascii="Times New Roman" w:hAnsi="Times New Roman" w:cs="Times New Roman"/>
          <w:sz w:val="24"/>
        </w:rPr>
        <w:t>Челябинской области.</w:t>
      </w:r>
    </w:p>
    <w:p w:rsidR="00796F95" w:rsidRPr="00C55785" w:rsidRDefault="00796F95" w:rsidP="00796F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55785">
        <w:rPr>
          <w:rFonts w:ascii="Times New Roman" w:hAnsi="Times New Roman" w:cs="Times New Roman"/>
          <w:sz w:val="24"/>
        </w:rPr>
        <w:t>По итогам 20</w:t>
      </w:r>
      <w:r w:rsidR="00C55785" w:rsidRPr="00C55785">
        <w:rPr>
          <w:rFonts w:ascii="Times New Roman" w:hAnsi="Times New Roman" w:cs="Times New Roman"/>
          <w:sz w:val="24"/>
        </w:rPr>
        <w:t>20</w:t>
      </w:r>
      <w:r w:rsidRPr="00C55785">
        <w:rPr>
          <w:rFonts w:ascii="Times New Roman" w:hAnsi="Times New Roman" w:cs="Times New Roman"/>
          <w:sz w:val="24"/>
        </w:rPr>
        <w:t xml:space="preserve"> года объем производства сельского хозяйства составил </w:t>
      </w:r>
      <w:r w:rsidR="00C55785" w:rsidRPr="00C55785">
        <w:rPr>
          <w:rFonts w:ascii="Times New Roman" w:hAnsi="Times New Roman" w:cs="Times New Roman"/>
          <w:sz w:val="24"/>
        </w:rPr>
        <w:t>692,4</w:t>
      </w:r>
      <w:r w:rsidRPr="00C55785">
        <w:rPr>
          <w:rFonts w:ascii="Times New Roman" w:hAnsi="Times New Roman" w:cs="Times New Roman"/>
          <w:sz w:val="24"/>
        </w:rPr>
        <w:t xml:space="preserve"> млн. руб., индекс производства продукции сельского хозяйства к предыдущему году 9</w:t>
      </w:r>
      <w:r w:rsidR="00C55785" w:rsidRPr="00C55785">
        <w:rPr>
          <w:rFonts w:ascii="Times New Roman" w:hAnsi="Times New Roman" w:cs="Times New Roman"/>
          <w:sz w:val="24"/>
        </w:rPr>
        <w:t>5,5</w:t>
      </w:r>
      <w:r w:rsidRPr="00C55785">
        <w:rPr>
          <w:rFonts w:ascii="Times New Roman" w:hAnsi="Times New Roman" w:cs="Times New Roman"/>
          <w:sz w:val="24"/>
        </w:rPr>
        <w:t xml:space="preserve"> %. Невыполнение этого показателя связано с неблагоприятными погодными условиями.</w:t>
      </w:r>
    </w:p>
    <w:p w:rsidR="00796F95" w:rsidRPr="004D6686" w:rsidRDefault="00796F95" w:rsidP="00796F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D6686">
        <w:rPr>
          <w:rFonts w:ascii="Times New Roman" w:hAnsi="Times New Roman" w:cs="Times New Roman"/>
          <w:sz w:val="24"/>
        </w:rPr>
        <w:t>Объем продукции сельского хозяйства в 202</w:t>
      </w:r>
      <w:r w:rsidR="00C55785" w:rsidRPr="004D6686">
        <w:rPr>
          <w:rFonts w:ascii="Times New Roman" w:hAnsi="Times New Roman" w:cs="Times New Roman"/>
          <w:sz w:val="24"/>
        </w:rPr>
        <w:t>1</w:t>
      </w:r>
      <w:r w:rsidRPr="004D6686">
        <w:rPr>
          <w:rFonts w:ascii="Times New Roman" w:hAnsi="Times New Roman" w:cs="Times New Roman"/>
          <w:sz w:val="24"/>
        </w:rPr>
        <w:t xml:space="preserve"> году прогнозируется на уровне 7</w:t>
      </w:r>
      <w:r w:rsidR="009A2D7B" w:rsidRPr="004D6686">
        <w:rPr>
          <w:rFonts w:ascii="Times New Roman" w:hAnsi="Times New Roman" w:cs="Times New Roman"/>
          <w:sz w:val="24"/>
        </w:rPr>
        <w:t>19,6</w:t>
      </w:r>
      <w:r w:rsidRPr="004D6686">
        <w:rPr>
          <w:rFonts w:ascii="Times New Roman" w:hAnsi="Times New Roman" w:cs="Times New Roman"/>
          <w:sz w:val="24"/>
        </w:rPr>
        <w:t xml:space="preserve"> млн. рублей (</w:t>
      </w:r>
      <w:r w:rsidR="00D309E1" w:rsidRPr="00C55785">
        <w:rPr>
          <w:rFonts w:ascii="Times New Roman" w:hAnsi="Times New Roman" w:cs="Times New Roman"/>
          <w:sz w:val="24"/>
        </w:rPr>
        <w:t xml:space="preserve">индекс производства </w:t>
      </w:r>
      <w:r w:rsidR="004D6686" w:rsidRPr="004D6686">
        <w:rPr>
          <w:rFonts w:ascii="Times New Roman" w:hAnsi="Times New Roman" w:cs="Times New Roman"/>
          <w:sz w:val="24"/>
        </w:rPr>
        <w:t>99,3</w:t>
      </w:r>
      <w:r w:rsidRPr="004D6686">
        <w:rPr>
          <w:rFonts w:ascii="Times New Roman" w:hAnsi="Times New Roman" w:cs="Times New Roman"/>
          <w:sz w:val="24"/>
        </w:rPr>
        <w:t xml:space="preserve"> %). </w:t>
      </w:r>
    </w:p>
    <w:p w:rsidR="00FF0A33" w:rsidRPr="00FF0A33" w:rsidRDefault="00796F95" w:rsidP="00FF0A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F0A33">
        <w:rPr>
          <w:rFonts w:ascii="Times New Roman" w:hAnsi="Times New Roman" w:cs="Times New Roman"/>
          <w:sz w:val="24"/>
        </w:rPr>
        <w:t>По консервативному варианту объем продукции сельского хозяйства прогнозируется в 202</w:t>
      </w:r>
      <w:r w:rsidR="00FF0A33" w:rsidRPr="00FF0A33">
        <w:rPr>
          <w:rFonts w:ascii="Times New Roman" w:hAnsi="Times New Roman" w:cs="Times New Roman"/>
          <w:sz w:val="24"/>
        </w:rPr>
        <w:t xml:space="preserve">2 году – 746,0 млн. рублей, что составляет </w:t>
      </w:r>
      <w:r w:rsidR="00D309E1">
        <w:rPr>
          <w:rFonts w:ascii="Times New Roman" w:hAnsi="Times New Roman" w:cs="Times New Roman"/>
          <w:sz w:val="24"/>
        </w:rPr>
        <w:t>в сопоставимых</w:t>
      </w:r>
      <w:r w:rsidR="00FF0A33" w:rsidRPr="00FF0A33">
        <w:rPr>
          <w:rFonts w:ascii="Times New Roman" w:hAnsi="Times New Roman" w:cs="Times New Roman"/>
          <w:sz w:val="24"/>
        </w:rPr>
        <w:t xml:space="preserve"> ценах 100,3</w:t>
      </w:r>
      <w:r w:rsidRPr="00FF0A33">
        <w:rPr>
          <w:rFonts w:ascii="Times New Roman" w:hAnsi="Times New Roman" w:cs="Times New Roman"/>
          <w:sz w:val="24"/>
        </w:rPr>
        <w:t xml:space="preserve"> %</w:t>
      </w:r>
      <w:r w:rsidR="00FF0A33" w:rsidRPr="00FF0A33">
        <w:rPr>
          <w:rFonts w:ascii="Times New Roman" w:hAnsi="Times New Roman" w:cs="Times New Roman"/>
          <w:sz w:val="24"/>
        </w:rPr>
        <w:t>;</w:t>
      </w:r>
      <w:r w:rsidRPr="00FF0A33">
        <w:rPr>
          <w:rFonts w:ascii="Times New Roman" w:hAnsi="Times New Roman" w:cs="Times New Roman"/>
          <w:sz w:val="24"/>
        </w:rPr>
        <w:t xml:space="preserve"> в 202</w:t>
      </w:r>
      <w:r w:rsidR="00FF0A33" w:rsidRPr="00FF0A33">
        <w:rPr>
          <w:rFonts w:ascii="Times New Roman" w:hAnsi="Times New Roman" w:cs="Times New Roman"/>
          <w:sz w:val="24"/>
        </w:rPr>
        <w:t>3</w:t>
      </w:r>
      <w:r w:rsidRPr="00FF0A33">
        <w:rPr>
          <w:rFonts w:ascii="Times New Roman" w:hAnsi="Times New Roman" w:cs="Times New Roman"/>
          <w:sz w:val="24"/>
        </w:rPr>
        <w:t xml:space="preserve"> году – </w:t>
      </w:r>
      <w:r w:rsidR="00FF0A33" w:rsidRPr="00FF0A33">
        <w:rPr>
          <w:rFonts w:ascii="Times New Roman" w:hAnsi="Times New Roman" w:cs="Times New Roman"/>
          <w:sz w:val="24"/>
        </w:rPr>
        <w:t>775,6</w:t>
      </w:r>
      <w:r w:rsidRPr="00FF0A33">
        <w:rPr>
          <w:rFonts w:ascii="Times New Roman" w:hAnsi="Times New Roman" w:cs="Times New Roman"/>
          <w:sz w:val="24"/>
        </w:rPr>
        <w:t xml:space="preserve"> млн. руб</w:t>
      </w:r>
      <w:r w:rsidR="00FF0A33" w:rsidRPr="00FF0A33">
        <w:rPr>
          <w:rFonts w:ascii="Times New Roman" w:hAnsi="Times New Roman" w:cs="Times New Roman"/>
          <w:sz w:val="24"/>
        </w:rPr>
        <w:t>лей,</w:t>
      </w:r>
      <w:r w:rsidRPr="00FF0A33">
        <w:rPr>
          <w:rFonts w:ascii="Times New Roman" w:hAnsi="Times New Roman" w:cs="Times New Roman"/>
          <w:sz w:val="24"/>
        </w:rPr>
        <w:t xml:space="preserve"> </w:t>
      </w:r>
      <w:r w:rsidR="00FF0A33" w:rsidRPr="00FF0A33">
        <w:rPr>
          <w:rFonts w:ascii="Times New Roman" w:hAnsi="Times New Roman" w:cs="Times New Roman"/>
          <w:sz w:val="24"/>
        </w:rPr>
        <w:t xml:space="preserve">что составляет в </w:t>
      </w:r>
      <w:r w:rsidR="00D309E1">
        <w:rPr>
          <w:rFonts w:ascii="Times New Roman" w:hAnsi="Times New Roman" w:cs="Times New Roman"/>
          <w:sz w:val="24"/>
        </w:rPr>
        <w:t>сопоставимых</w:t>
      </w:r>
      <w:r w:rsidR="00FF0A33" w:rsidRPr="00FF0A33">
        <w:rPr>
          <w:rFonts w:ascii="Times New Roman" w:hAnsi="Times New Roman" w:cs="Times New Roman"/>
          <w:sz w:val="24"/>
        </w:rPr>
        <w:t xml:space="preserve"> ценах 100,0 %; в 202</w:t>
      </w:r>
      <w:r w:rsidR="00FF0A33">
        <w:rPr>
          <w:rFonts w:ascii="Times New Roman" w:hAnsi="Times New Roman" w:cs="Times New Roman"/>
          <w:sz w:val="24"/>
        </w:rPr>
        <w:t>4</w:t>
      </w:r>
      <w:r w:rsidR="00FF0A33" w:rsidRPr="00FF0A33">
        <w:rPr>
          <w:rFonts w:ascii="Times New Roman" w:hAnsi="Times New Roman" w:cs="Times New Roman"/>
          <w:sz w:val="24"/>
        </w:rPr>
        <w:t xml:space="preserve"> году – </w:t>
      </w:r>
      <w:r w:rsidR="00FF0A33">
        <w:rPr>
          <w:rFonts w:ascii="Times New Roman" w:hAnsi="Times New Roman" w:cs="Times New Roman"/>
          <w:sz w:val="24"/>
        </w:rPr>
        <w:t>809,4</w:t>
      </w:r>
      <w:r w:rsidR="00FF0A33" w:rsidRPr="00FF0A33">
        <w:rPr>
          <w:rFonts w:ascii="Times New Roman" w:hAnsi="Times New Roman" w:cs="Times New Roman"/>
          <w:sz w:val="24"/>
        </w:rPr>
        <w:t xml:space="preserve"> млн. рублей, что составляет в </w:t>
      </w:r>
      <w:r w:rsidR="00D309E1">
        <w:rPr>
          <w:rFonts w:ascii="Times New Roman" w:hAnsi="Times New Roman" w:cs="Times New Roman"/>
          <w:sz w:val="24"/>
        </w:rPr>
        <w:t>сопоставимых</w:t>
      </w:r>
      <w:r w:rsidR="00FF0A33" w:rsidRPr="00FF0A33">
        <w:rPr>
          <w:rFonts w:ascii="Times New Roman" w:hAnsi="Times New Roman" w:cs="Times New Roman"/>
          <w:sz w:val="24"/>
        </w:rPr>
        <w:t xml:space="preserve"> ценах 100,</w:t>
      </w:r>
      <w:r w:rsidR="00FF0A33">
        <w:rPr>
          <w:rFonts w:ascii="Times New Roman" w:hAnsi="Times New Roman" w:cs="Times New Roman"/>
          <w:sz w:val="24"/>
        </w:rPr>
        <w:t>1</w:t>
      </w:r>
      <w:r w:rsidR="00FF0A33" w:rsidRPr="00FF0A33">
        <w:rPr>
          <w:rFonts w:ascii="Times New Roman" w:hAnsi="Times New Roman" w:cs="Times New Roman"/>
          <w:sz w:val="24"/>
        </w:rPr>
        <w:t xml:space="preserve"> %</w:t>
      </w:r>
      <w:r w:rsidR="00FF0A33">
        <w:rPr>
          <w:rFonts w:ascii="Times New Roman" w:hAnsi="Times New Roman" w:cs="Times New Roman"/>
          <w:sz w:val="24"/>
        </w:rPr>
        <w:t>.</w:t>
      </w:r>
    </w:p>
    <w:p w:rsidR="00FF0A33" w:rsidRPr="00FF0A33" w:rsidRDefault="00FF0A33" w:rsidP="00FF0A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F0A33">
        <w:rPr>
          <w:rFonts w:ascii="Times New Roman" w:hAnsi="Times New Roman" w:cs="Times New Roman"/>
          <w:sz w:val="24"/>
        </w:rPr>
        <w:t>По</w:t>
      </w:r>
      <w:r>
        <w:rPr>
          <w:rFonts w:ascii="Times New Roman" w:hAnsi="Times New Roman" w:cs="Times New Roman"/>
          <w:sz w:val="24"/>
        </w:rPr>
        <w:t xml:space="preserve"> базовому</w:t>
      </w:r>
      <w:r w:rsidRPr="00FF0A33">
        <w:rPr>
          <w:rFonts w:ascii="Times New Roman" w:hAnsi="Times New Roman" w:cs="Times New Roman"/>
          <w:sz w:val="24"/>
        </w:rPr>
        <w:t xml:space="preserve"> варианту объем продукции сельского хозяйства прогнозируется в 2022 году – 7</w:t>
      </w:r>
      <w:r>
        <w:rPr>
          <w:rFonts w:ascii="Times New Roman" w:hAnsi="Times New Roman" w:cs="Times New Roman"/>
          <w:sz w:val="24"/>
        </w:rPr>
        <w:t>51,0</w:t>
      </w:r>
      <w:r w:rsidRPr="00FF0A33">
        <w:rPr>
          <w:rFonts w:ascii="Times New Roman" w:hAnsi="Times New Roman" w:cs="Times New Roman"/>
          <w:sz w:val="24"/>
        </w:rPr>
        <w:t xml:space="preserve"> млн. рублей, что составляет в </w:t>
      </w:r>
      <w:r w:rsidR="00D309E1">
        <w:rPr>
          <w:rFonts w:ascii="Times New Roman" w:hAnsi="Times New Roman" w:cs="Times New Roman"/>
          <w:sz w:val="24"/>
        </w:rPr>
        <w:t>сопоставимых</w:t>
      </w:r>
      <w:r w:rsidRPr="00FF0A33">
        <w:rPr>
          <w:rFonts w:ascii="Times New Roman" w:hAnsi="Times New Roman" w:cs="Times New Roman"/>
          <w:sz w:val="24"/>
        </w:rPr>
        <w:t xml:space="preserve"> </w:t>
      </w:r>
      <w:r w:rsidRPr="0019157B">
        <w:rPr>
          <w:rFonts w:ascii="Times New Roman" w:hAnsi="Times New Roman" w:cs="Times New Roman"/>
          <w:sz w:val="24"/>
        </w:rPr>
        <w:t>ценах 10</w:t>
      </w:r>
      <w:r w:rsidR="0019157B" w:rsidRPr="0019157B">
        <w:rPr>
          <w:rFonts w:ascii="Times New Roman" w:hAnsi="Times New Roman" w:cs="Times New Roman"/>
          <w:sz w:val="24"/>
        </w:rPr>
        <w:t>1</w:t>
      </w:r>
      <w:r w:rsidRPr="0019157B">
        <w:rPr>
          <w:rFonts w:ascii="Times New Roman" w:hAnsi="Times New Roman" w:cs="Times New Roman"/>
          <w:sz w:val="24"/>
        </w:rPr>
        <w:t>,2 %;</w:t>
      </w:r>
      <w:r w:rsidRPr="00FF0A33">
        <w:rPr>
          <w:rFonts w:ascii="Times New Roman" w:hAnsi="Times New Roman" w:cs="Times New Roman"/>
          <w:sz w:val="24"/>
        </w:rPr>
        <w:t xml:space="preserve"> в 2023 году – 7</w:t>
      </w:r>
      <w:r>
        <w:rPr>
          <w:rFonts w:ascii="Times New Roman" w:hAnsi="Times New Roman" w:cs="Times New Roman"/>
          <w:sz w:val="24"/>
        </w:rPr>
        <w:t>82,0</w:t>
      </w:r>
      <w:r w:rsidRPr="00FF0A33">
        <w:rPr>
          <w:rFonts w:ascii="Times New Roman" w:hAnsi="Times New Roman" w:cs="Times New Roman"/>
          <w:sz w:val="24"/>
        </w:rPr>
        <w:t xml:space="preserve"> млн. рублей, что составляет в </w:t>
      </w:r>
      <w:r w:rsidR="00D309E1">
        <w:rPr>
          <w:rFonts w:ascii="Times New Roman" w:hAnsi="Times New Roman" w:cs="Times New Roman"/>
          <w:sz w:val="24"/>
        </w:rPr>
        <w:t>сопоставимых</w:t>
      </w:r>
      <w:r w:rsidRPr="00FF0A33">
        <w:rPr>
          <w:rFonts w:ascii="Times New Roman" w:hAnsi="Times New Roman" w:cs="Times New Roman"/>
          <w:sz w:val="24"/>
        </w:rPr>
        <w:t xml:space="preserve"> ценах 100,</w:t>
      </w:r>
      <w:r>
        <w:rPr>
          <w:rFonts w:ascii="Times New Roman" w:hAnsi="Times New Roman" w:cs="Times New Roman"/>
          <w:sz w:val="24"/>
        </w:rPr>
        <w:t>3</w:t>
      </w:r>
      <w:r w:rsidRPr="00FF0A33">
        <w:rPr>
          <w:rFonts w:ascii="Times New Roman" w:hAnsi="Times New Roman" w:cs="Times New Roman"/>
          <w:sz w:val="24"/>
        </w:rPr>
        <w:t xml:space="preserve"> %; в 202</w:t>
      </w:r>
      <w:r>
        <w:rPr>
          <w:rFonts w:ascii="Times New Roman" w:hAnsi="Times New Roman" w:cs="Times New Roman"/>
          <w:sz w:val="24"/>
        </w:rPr>
        <w:t>4</w:t>
      </w:r>
      <w:r w:rsidRPr="00FF0A33">
        <w:rPr>
          <w:rFonts w:ascii="Times New Roman" w:hAnsi="Times New Roman" w:cs="Times New Roman"/>
          <w:sz w:val="24"/>
        </w:rPr>
        <w:t xml:space="preserve"> году – </w:t>
      </w:r>
      <w:r>
        <w:rPr>
          <w:rFonts w:ascii="Times New Roman" w:hAnsi="Times New Roman" w:cs="Times New Roman"/>
          <w:sz w:val="24"/>
        </w:rPr>
        <w:t>818,5</w:t>
      </w:r>
      <w:r w:rsidRPr="00FF0A33">
        <w:rPr>
          <w:rFonts w:ascii="Times New Roman" w:hAnsi="Times New Roman" w:cs="Times New Roman"/>
          <w:sz w:val="24"/>
        </w:rPr>
        <w:t xml:space="preserve"> млн. рублей, что составляет в </w:t>
      </w:r>
      <w:r w:rsidR="00D309E1">
        <w:rPr>
          <w:rFonts w:ascii="Times New Roman" w:hAnsi="Times New Roman" w:cs="Times New Roman"/>
          <w:sz w:val="24"/>
        </w:rPr>
        <w:t>сопоставимых</w:t>
      </w:r>
      <w:r w:rsidRPr="00FF0A33">
        <w:rPr>
          <w:rFonts w:ascii="Times New Roman" w:hAnsi="Times New Roman" w:cs="Times New Roman"/>
          <w:sz w:val="24"/>
        </w:rPr>
        <w:t xml:space="preserve"> ценах 100,</w:t>
      </w:r>
      <w:r>
        <w:rPr>
          <w:rFonts w:ascii="Times New Roman" w:hAnsi="Times New Roman" w:cs="Times New Roman"/>
          <w:sz w:val="24"/>
        </w:rPr>
        <w:t>6</w:t>
      </w:r>
      <w:r w:rsidRPr="00FF0A33">
        <w:rPr>
          <w:rFonts w:ascii="Times New Roman" w:hAnsi="Times New Roman" w:cs="Times New Roman"/>
          <w:sz w:val="24"/>
        </w:rPr>
        <w:t xml:space="preserve"> %</w:t>
      </w:r>
      <w:r>
        <w:rPr>
          <w:rFonts w:ascii="Times New Roman" w:hAnsi="Times New Roman" w:cs="Times New Roman"/>
          <w:sz w:val="24"/>
        </w:rPr>
        <w:t>.</w:t>
      </w:r>
    </w:p>
    <w:p w:rsidR="00FF0A33" w:rsidRPr="00FF0A33" w:rsidRDefault="00FF0A33" w:rsidP="00FF0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F0A33">
        <w:rPr>
          <w:rFonts w:ascii="Times New Roman" w:hAnsi="Times New Roman" w:cs="Times New Roman"/>
          <w:sz w:val="24"/>
        </w:rPr>
        <w:t>В настоящее время приоритетными отраслями в сельскохозяйственном производстве Саткинского муниципального района является растениеводство и животноводство, что обусловлено природно-климатическими условиями нашего района. Сельскохозяйственным производством на территории Саткинского муниципального района заняты: 2 с</w:t>
      </w:r>
      <w:r>
        <w:rPr>
          <w:rFonts w:ascii="Times New Roman" w:hAnsi="Times New Roman" w:cs="Times New Roman"/>
          <w:sz w:val="24"/>
        </w:rPr>
        <w:t>ельскохозяйственных предприятия</w:t>
      </w:r>
      <w:r w:rsidRPr="00FF0A33">
        <w:rPr>
          <w:rFonts w:ascii="Times New Roman" w:hAnsi="Times New Roman" w:cs="Times New Roman"/>
          <w:sz w:val="24"/>
        </w:rPr>
        <w:t xml:space="preserve"> - ООО «Агрофирма Магнезит», ООО «</w:t>
      </w:r>
      <w:proofErr w:type="spellStart"/>
      <w:r w:rsidRPr="00FF0A33">
        <w:rPr>
          <w:rFonts w:ascii="Times New Roman" w:hAnsi="Times New Roman" w:cs="Times New Roman"/>
          <w:sz w:val="24"/>
        </w:rPr>
        <w:t>Агробиоферма</w:t>
      </w:r>
      <w:proofErr w:type="spellEnd"/>
      <w:r w:rsidRPr="00FF0A33">
        <w:rPr>
          <w:rFonts w:ascii="Times New Roman" w:hAnsi="Times New Roman" w:cs="Times New Roman"/>
          <w:sz w:val="24"/>
        </w:rPr>
        <w:t>», 15 КФХ, 10626 личных подсобных хозяйств.</w:t>
      </w:r>
    </w:p>
    <w:p w:rsidR="00FF0A33" w:rsidRPr="00FF0A33" w:rsidRDefault="00FF0A33" w:rsidP="00FF0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F0A33">
        <w:rPr>
          <w:rFonts w:ascii="Times New Roman" w:hAnsi="Times New Roman" w:cs="Times New Roman"/>
          <w:sz w:val="24"/>
        </w:rPr>
        <w:t>Объем продукции в отрасли растениеводства в 2021 году, согласно оценке, планируется на уровне 433,0 млн.</w:t>
      </w:r>
      <w:r>
        <w:rPr>
          <w:rFonts w:ascii="Times New Roman" w:hAnsi="Times New Roman" w:cs="Times New Roman"/>
          <w:sz w:val="24"/>
        </w:rPr>
        <w:t xml:space="preserve"> рублей.</w:t>
      </w:r>
      <w:r w:rsidRPr="00FF0A33">
        <w:rPr>
          <w:rFonts w:ascii="Times New Roman" w:hAnsi="Times New Roman" w:cs="Times New Roman"/>
          <w:sz w:val="24"/>
        </w:rPr>
        <w:t xml:space="preserve"> В 2022 году по консервативному варианту планируется на уровне 450,1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(101</w:t>
      </w:r>
      <w:r>
        <w:rPr>
          <w:rFonts w:ascii="Times New Roman" w:hAnsi="Times New Roman" w:cs="Times New Roman"/>
          <w:sz w:val="24"/>
        </w:rPr>
        <w:t>,0</w:t>
      </w:r>
      <w:r w:rsidRPr="00FF0A33">
        <w:rPr>
          <w:rFonts w:ascii="Times New Roman" w:hAnsi="Times New Roman" w:cs="Times New Roman"/>
          <w:sz w:val="24"/>
        </w:rPr>
        <w:t>%), в 2023 году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- 467,7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</w:t>
      </w:r>
      <w:r>
        <w:rPr>
          <w:rFonts w:ascii="Times New Roman" w:hAnsi="Times New Roman" w:cs="Times New Roman"/>
          <w:sz w:val="24"/>
        </w:rPr>
        <w:t>лей</w:t>
      </w:r>
      <w:r w:rsidRPr="00FF0A33">
        <w:rPr>
          <w:rFonts w:ascii="Times New Roman" w:hAnsi="Times New Roman" w:cs="Times New Roman"/>
          <w:sz w:val="24"/>
        </w:rPr>
        <w:t xml:space="preserve"> (100</w:t>
      </w:r>
      <w:r>
        <w:rPr>
          <w:rFonts w:ascii="Times New Roman" w:hAnsi="Times New Roman" w:cs="Times New Roman"/>
          <w:sz w:val="24"/>
        </w:rPr>
        <w:t>,0</w:t>
      </w:r>
      <w:r w:rsidRPr="00FF0A33">
        <w:rPr>
          <w:rFonts w:ascii="Times New Roman" w:hAnsi="Times New Roman" w:cs="Times New Roman"/>
          <w:sz w:val="24"/>
        </w:rPr>
        <w:t>%), в 2024 году – 488,7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</w:t>
      </w:r>
      <w:r>
        <w:rPr>
          <w:rFonts w:ascii="Times New Roman" w:hAnsi="Times New Roman" w:cs="Times New Roman"/>
          <w:sz w:val="24"/>
        </w:rPr>
        <w:t>лей</w:t>
      </w:r>
      <w:r w:rsidRPr="00FF0A33">
        <w:rPr>
          <w:rFonts w:ascii="Times New Roman" w:hAnsi="Times New Roman" w:cs="Times New Roman"/>
          <w:sz w:val="24"/>
        </w:rPr>
        <w:t xml:space="preserve"> (100,2%). По базовому варианту в 2022 году – 450,6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(101,4%), в 2023 году – 469,5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(100,5%), в 2024 году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- 491,7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(100,7%)</w:t>
      </w:r>
    </w:p>
    <w:p w:rsidR="00FF0A33" w:rsidRPr="00FF0A33" w:rsidRDefault="00FF0A33" w:rsidP="00FF0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Объем </w:t>
      </w:r>
      <w:r w:rsidRPr="00FF0A33">
        <w:rPr>
          <w:rFonts w:ascii="Times New Roman" w:hAnsi="Times New Roman" w:cs="Times New Roman"/>
          <w:sz w:val="24"/>
        </w:rPr>
        <w:t>продукции в отрасли животноводства в 2021 году, согласно оценке, составит 286,6 млн.</w:t>
      </w:r>
      <w:r>
        <w:rPr>
          <w:rFonts w:ascii="Times New Roman" w:hAnsi="Times New Roman" w:cs="Times New Roman"/>
          <w:sz w:val="24"/>
        </w:rPr>
        <w:t xml:space="preserve"> рублей. </w:t>
      </w:r>
      <w:r w:rsidRPr="00FF0A33">
        <w:rPr>
          <w:rFonts w:ascii="Times New Roman" w:hAnsi="Times New Roman" w:cs="Times New Roman"/>
          <w:sz w:val="24"/>
        </w:rPr>
        <w:t>По консервативному варианту объем продукции в области животноводства составит в 2022 году – 295,9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</w:t>
      </w:r>
      <w:r>
        <w:rPr>
          <w:rFonts w:ascii="Times New Roman" w:hAnsi="Times New Roman" w:cs="Times New Roman"/>
          <w:sz w:val="24"/>
        </w:rPr>
        <w:t>лей</w:t>
      </w:r>
      <w:r w:rsidRPr="00FF0A33">
        <w:rPr>
          <w:rFonts w:ascii="Times New Roman" w:hAnsi="Times New Roman" w:cs="Times New Roman"/>
          <w:sz w:val="24"/>
        </w:rPr>
        <w:t xml:space="preserve"> (99,4%), в 2023 году – 307,9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</w:t>
      </w:r>
      <w:r>
        <w:rPr>
          <w:rFonts w:ascii="Times New Roman" w:hAnsi="Times New Roman" w:cs="Times New Roman"/>
          <w:sz w:val="24"/>
        </w:rPr>
        <w:t xml:space="preserve">лей </w:t>
      </w:r>
      <w:r w:rsidRPr="00FF0A33">
        <w:rPr>
          <w:rFonts w:ascii="Times New Roman" w:hAnsi="Times New Roman" w:cs="Times New Roman"/>
          <w:sz w:val="24"/>
        </w:rPr>
        <w:t>(100,1 %), в 2024 году- 320,7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</w:t>
      </w:r>
      <w:r>
        <w:rPr>
          <w:rFonts w:ascii="Times New Roman" w:hAnsi="Times New Roman" w:cs="Times New Roman"/>
          <w:sz w:val="24"/>
        </w:rPr>
        <w:t xml:space="preserve">лей </w:t>
      </w:r>
      <w:r w:rsidRPr="00FF0A33">
        <w:rPr>
          <w:rFonts w:ascii="Times New Roman" w:hAnsi="Times New Roman" w:cs="Times New Roman"/>
          <w:sz w:val="24"/>
        </w:rPr>
        <w:t>(100,0%). По базовому варианту в 2022 году – 300,4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(101%), в 2023 году – 312,5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>рублей (100,1%), в 2024 году- 326,8 млн.</w:t>
      </w:r>
      <w:r>
        <w:rPr>
          <w:rFonts w:ascii="Times New Roman" w:hAnsi="Times New Roman" w:cs="Times New Roman"/>
          <w:sz w:val="24"/>
        </w:rPr>
        <w:t xml:space="preserve"> </w:t>
      </w:r>
      <w:r w:rsidRPr="00FF0A33">
        <w:rPr>
          <w:rFonts w:ascii="Times New Roman" w:hAnsi="Times New Roman" w:cs="Times New Roman"/>
          <w:sz w:val="24"/>
        </w:rPr>
        <w:t xml:space="preserve">рублей (100,5%). </w:t>
      </w:r>
    </w:p>
    <w:p w:rsidR="00796F95" w:rsidRPr="00FF0A33" w:rsidRDefault="00FF0A33" w:rsidP="00FF0A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0A33">
        <w:rPr>
          <w:rFonts w:ascii="Times New Roman" w:hAnsi="Times New Roman" w:cs="Times New Roman"/>
          <w:sz w:val="24"/>
        </w:rPr>
        <w:lastRenderedPageBreak/>
        <w:t>Важным фактором, оказывающим положительное влияние  на развитие ситуации в сельском хозяйстве Саткинского муниципального района является государственная поддержка сельхозтоваропроизводителей в виде грантов, субсидируемых  кредитов, субсидий Министерства сельского хозяйства Челябинской области, а так же реализация муниципальной программы  «Развитие сельского хозяйства в Саткинском муниципальном районе», в соответствии с которой проводится инвентаризация земель сельскохозяйственного назначения, для последующего их вовлечения в оборот</w:t>
      </w:r>
    </w:p>
    <w:p w:rsidR="00FF0A33" w:rsidRPr="00864FD1" w:rsidRDefault="00FF0A33" w:rsidP="00796F9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</w:rPr>
      </w:pPr>
    </w:p>
    <w:p w:rsidR="00F308EA" w:rsidRPr="007A6E09" w:rsidRDefault="00F308E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A6E09">
        <w:rPr>
          <w:rFonts w:ascii="Times New Roman" w:hAnsi="Times New Roman" w:cs="Times New Roman"/>
          <w:b/>
          <w:sz w:val="24"/>
          <w:szCs w:val="28"/>
        </w:rPr>
        <w:t>Рынок товаров и услуг</w:t>
      </w:r>
    </w:p>
    <w:p w:rsidR="00067C01" w:rsidRPr="00DC3D7C" w:rsidRDefault="00067C01" w:rsidP="00067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C3D7C">
        <w:rPr>
          <w:rFonts w:ascii="Times New Roman" w:hAnsi="Times New Roman" w:cs="Times New Roman"/>
          <w:sz w:val="24"/>
        </w:rPr>
        <w:t>Торговля является важнейшей сферой жизнеобеспечения, способом улучшения качества жизни населения. Как ни в одной из других отраслей экономики Саткинского муниципального района в торговле сформировалась конкурентная среда, сложился разнообразный ассортимент предлагаемых потребительских товаров и услуг и самая высокая предпринимательская активность.</w:t>
      </w:r>
    </w:p>
    <w:p w:rsidR="00067C01" w:rsidRPr="00864FD1" w:rsidRDefault="00067C01" w:rsidP="00067C01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216693">
        <w:rPr>
          <w:rFonts w:ascii="Times New Roman" w:hAnsi="Times New Roman" w:cs="Times New Roman"/>
          <w:sz w:val="24"/>
        </w:rPr>
        <w:t>В 20</w:t>
      </w:r>
      <w:r w:rsidR="00DC3D7C" w:rsidRPr="00216693">
        <w:rPr>
          <w:rFonts w:ascii="Times New Roman" w:hAnsi="Times New Roman" w:cs="Times New Roman"/>
          <w:sz w:val="24"/>
        </w:rPr>
        <w:t>20</w:t>
      </w:r>
      <w:r w:rsidRPr="00216693">
        <w:rPr>
          <w:rFonts w:ascii="Times New Roman" w:hAnsi="Times New Roman" w:cs="Times New Roman"/>
          <w:sz w:val="24"/>
        </w:rPr>
        <w:t xml:space="preserve"> году оборот розничной торговли по крупным и средним организация</w:t>
      </w:r>
      <w:r w:rsidR="00DC3D7C" w:rsidRPr="00216693">
        <w:rPr>
          <w:rFonts w:ascii="Times New Roman" w:hAnsi="Times New Roman" w:cs="Times New Roman"/>
          <w:sz w:val="24"/>
        </w:rPr>
        <w:t xml:space="preserve">м в </w:t>
      </w:r>
      <w:r w:rsidR="00DC3D7C" w:rsidRPr="002D6B7B">
        <w:rPr>
          <w:rFonts w:ascii="Times New Roman" w:hAnsi="Times New Roman" w:cs="Times New Roman"/>
          <w:sz w:val="24"/>
        </w:rPr>
        <w:t>фактических ценах составил 5 235,5</w:t>
      </w:r>
      <w:r w:rsidRPr="002D6B7B">
        <w:rPr>
          <w:rFonts w:ascii="Times New Roman" w:hAnsi="Times New Roman" w:cs="Times New Roman"/>
          <w:sz w:val="24"/>
        </w:rPr>
        <w:t xml:space="preserve"> млн. рублей, по сравнению с 201</w:t>
      </w:r>
      <w:r w:rsidR="00DC3D7C" w:rsidRPr="002D6B7B">
        <w:rPr>
          <w:rFonts w:ascii="Times New Roman" w:hAnsi="Times New Roman" w:cs="Times New Roman"/>
          <w:sz w:val="24"/>
        </w:rPr>
        <w:t>9</w:t>
      </w:r>
      <w:r w:rsidRPr="002D6B7B">
        <w:rPr>
          <w:rFonts w:ascii="Times New Roman" w:hAnsi="Times New Roman" w:cs="Times New Roman"/>
          <w:sz w:val="24"/>
        </w:rPr>
        <w:t xml:space="preserve"> годом увеличился на </w:t>
      </w:r>
      <w:r w:rsidR="002D6B7B" w:rsidRPr="002D6B7B">
        <w:rPr>
          <w:rFonts w:ascii="Times New Roman" w:hAnsi="Times New Roman" w:cs="Times New Roman"/>
          <w:sz w:val="24"/>
        </w:rPr>
        <w:t>9,</w:t>
      </w:r>
      <w:r w:rsidR="00DC3D7C" w:rsidRPr="002D6B7B">
        <w:rPr>
          <w:rFonts w:ascii="Times New Roman" w:hAnsi="Times New Roman" w:cs="Times New Roman"/>
          <w:sz w:val="24"/>
        </w:rPr>
        <w:t>8</w:t>
      </w:r>
      <w:r w:rsidR="002D6B7B" w:rsidRPr="002D6B7B">
        <w:rPr>
          <w:rFonts w:ascii="Times New Roman" w:hAnsi="Times New Roman" w:cs="Times New Roman"/>
          <w:sz w:val="24"/>
        </w:rPr>
        <w:t>%</w:t>
      </w:r>
      <w:r w:rsidRPr="002D6B7B">
        <w:rPr>
          <w:rFonts w:ascii="Times New Roman" w:hAnsi="Times New Roman" w:cs="Times New Roman"/>
          <w:sz w:val="24"/>
        </w:rPr>
        <w:t xml:space="preserve">, или на </w:t>
      </w:r>
      <w:r w:rsidR="00DC1522" w:rsidRPr="002D6B7B">
        <w:rPr>
          <w:rFonts w:ascii="Times New Roman" w:hAnsi="Times New Roman" w:cs="Times New Roman"/>
          <w:sz w:val="24"/>
        </w:rPr>
        <w:t>4</w:t>
      </w:r>
      <w:r w:rsidR="00DC3D7C" w:rsidRPr="002D6B7B">
        <w:rPr>
          <w:rFonts w:ascii="Times New Roman" w:hAnsi="Times New Roman" w:cs="Times New Roman"/>
          <w:sz w:val="24"/>
        </w:rPr>
        <w:t>65,4</w:t>
      </w:r>
      <w:r w:rsidRPr="002D6B7B">
        <w:rPr>
          <w:rFonts w:ascii="Times New Roman" w:hAnsi="Times New Roman" w:cs="Times New Roman"/>
          <w:sz w:val="24"/>
        </w:rPr>
        <w:t xml:space="preserve"> млн. рублей. Темп роста оборота розничной торговли в сопоставимых ценах составил 1</w:t>
      </w:r>
      <w:r w:rsidR="00DC1522" w:rsidRPr="002D6B7B">
        <w:rPr>
          <w:rFonts w:ascii="Times New Roman" w:hAnsi="Times New Roman" w:cs="Times New Roman"/>
          <w:sz w:val="24"/>
        </w:rPr>
        <w:t>0</w:t>
      </w:r>
      <w:r w:rsidR="002D6B7B" w:rsidRPr="002D6B7B">
        <w:rPr>
          <w:rFonts w:ascii="Times New Roman" w:hAnsi="Times New Roman" w:cs="Times New Roman"/>
          <w:sz w:val="24"/>
        </w:rPr>
        <w:t>6,2</w:t>
      </w:r>
      <w:r w:rsidRPr="002D6B7B">
        <w:rPr>
          <w:rFonts w:ascii="Times New Roman" w:hAnsi="Times New Roman" w:cs="Times New Roman"/>
          <w:sz w:val="24"/>
        </w:rPr>
        <w:t>%.</w:t>
      </w:r>
    </w:p>
    <w:p w:rsidR="00067C01" w:rsidRPr="002D6B7B" w:rsidRDefault="00274832" w:rsidP="00067C01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D6B7B">
        <w:rPr>
          <w:rFonts w:ascii="Times New Roman" w:hAnsi="Times New Roman" w:cs="Times New Roman"/>
          <w:sz w:val="24"/>
        </w:rPr>
        <w:t>В 202</w:t>
      </w:r>
      <w:r w:rsidR="002D6B7B" w:rsidRPr="002D6B7B">
        <w:rPr>
          <w:rFonts w:ascii="Times New Roman" w:hAnsi="Times New Roman" w:cs="Times New Roman"/>
          <w:sz w:val="24"/>
        </w:rPr>
        <w:t>1</w:t>
      </w:r>
      <w:r w:rsidR="00067C01" w:rsidRPr="002D6B7B">
        <w:rPr>
          <w:rFonts w:ascii="Times New Roman" w:hAnsi="Times New Roman" w:cs="Times New Roman"/>
          <w:sz w:val="24"/>
        </w:rPr>
        <w:t xml:space="preserve"> году оборот розничной торговли прогнозируется в размере </w:t>
      </w:r>
      <w:r w:rsidR="00067C01" w:rsidRPr="002D6B7B">
        <w:rPr>
          <w:rFonts w:ascii="Times New Roman" w:hAnsi="Times New Roman" w:cs="Times New Roman"/>
          <w:sz w:val="24"/>
        </w:rPr>
        <w:br/>
      </w:r>
      <w:r w:rsidRPr="002D6B7B">
        <w:rPr>
          <w:rFonts w:ascii="Times New Roman" w:hAnsi="Times New Roman" w:cs="Times New Roman"/>
          <w:sz w:val="24"/>
        </w:rPr>
        <w:t>5</w:t>
      </w:r>
      <w:r w:rsidR="002D6B7B" w:rsidRPr="002D6B7B">
        <w:rPr>
          <w:rFonts w:ascii="Times New Roman" w:hAnsi="Times New Roman" w:cs="Times New Roman"/>
          <w:sz w:val="24"/>
        </w:rPr>
        <w:t> 655,8</w:t>
      </w:r>
      <w:r w:rsidR="00067C01" w:rsidRPr="002D6B7B">
        <w:rPr>
          <w:rFonts w:ascii="Times New Roman" w:hAnsi="Times New Roman" w:cs="Times New Roman"/>
          <w:sz w:val="24"/>
        </w:rPr>
        <w:t xml:space="preserve"> млн. рублей или 10</w:t>
      </w:r>
      <w:r w:rsidR="002D6B7B" w:rsidRPr="002D6B7B">
        <w:rPr>
          <w:rFonts w:ascii="Times New Roman" w:hAnsi="Times New Roman" w:cs="Times New Roman"/>
          <w:sz w:val="24"/>
        </w:rPr>
        <w:t>2,3</w:t>
      </w:r>
      <w:r w:rsidR="00067C01" w:rsidRPr="002D6B7B">
        <w:rPr>
          <w:rFonts w:ascii="Times New Roman" w:hAnsi="Times New Roman" w:cs="Times New Roman"/>
          <w:sz w:val="24"/>
        </w:rPr>
        <w:t xml:space="preserve"> % в</w:t>
      </w:r>
      <w:r w:rsidR="002D6B7B" w:rsidRPr="002D6B7B">
        <w:rPr>
          <w:rFonts w:ascii="Times New Roman" w:hAnsi="Times New Roman" w:cs="Times New Roman"/>
          <w:sz w:val="24"/>
        </w:rPr>
        <w:t xml:space="preserve"> сопоставимых ценах к уровню 2020</w:t>
      </w:r>
      <w:r w:rsidR="00067C01" w:rsidRPr="002D6B7B">
        <w:rPr>
          <w:rFonts w:ascii="Times New Roman" w:hAnsi="Times New Roman" w:cs="Times New Roman"/>
          <w:sz w:val="24"/>
        </w:rPr>
        <w:t xml:space="preserve"> года.</w:t>
      </w:r>
    </w:p>
    <w:p w:rsidR="00067C01" w:rsidRPr="002D6B7B" w:rsidRDefault="00067C01" w:rsidP="00067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D6B7B">
        <w:rPr>
          <w:rFonts w:ascii="Times New Roman" w:hAnsi="Times New Roman" w:cs="Times New Roman"/>
          <w:sz w:val="24"/>
        </w:rPr>
        <w:t>Товарная насыщенность рынка будет носить устойчивый характер, платежеспособный спрос населения на важнейшие продукты питания и товары первой необходимости будет удовлетворяться в полной мере. Организации, работающие в потребительской сфере, и в дальнейшем будут оптимизировать свой ассортимент в соответствии со спросом населения. Решающим критерием выбора покупателя останется цена товара.</w:t>
      </w:r>
    </w:p>
    <w:p w:rsidR="00067C01" w:rsidRPr="002D6B7B" w:rsidRDefault="00067C01" w:rsidP="00067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D6B7B">
        <w:rPr>
          <w:rFonts w:ascii="Times New Roman" w:hAnsi="Times New Roman" w:cs="Times New Roman"/>
          <w:iCs/>
          <w:sz w:val="24"/>
        </w:rPr>
        <w:t>Оборот общественного питания</w:t>
      </w:r>
      <w:r w:rsidRPr="002D6B7B">
        <w:rPr>
          <w:rFonts w:ascii="Times New Roman" w:hAnsi="Times New Roman" w:cs="Times New Roman"/>
          <w:sz w:val="24"/>
        </w:rPr>
        <w:t> по крупным и средним организациям в 20</w:t>
      </w:r>
      <w:r w:rsidR="002D6B7B" w:rsidRPr="002D6B7B">
        <w:rPr>
          <w:rFonts w:ascii="Times New Roman" w:hAnsi="Times New Roman" w:cs="Times New Roman"/>
          <w:sz w:val="24"/>
        </w:rPr>
        <w:t>20</w:t>
      </w:r>
      <w:r w:rsidRPr="002D6B7B">
        <w:rPr>
          <w:rFonts w:ascii="Times New Roman" w:hAnsi="Times New Roman" w:cs="Times New Roman"/>
          <w:sz w:val="24"/>
        </w:rPr>
        <w:t xml:space="preserve"> году составил </w:t>
      </w:r>
      <w:r w:rsidR="002D6B7B" w:rsidRPr="002D6B7B">
        <w:rPr>
          <w:rFonts w:ascii="Times New Roman" w:hAnsi="Times New Roman" w:cs="Times New Roman"/>
          <w:sz w:val="24"/>
        </w:rPr>
        <w:t>70,9</w:t>
      </w:r>
      <w:r w:rsidRPr="002D6B7B">
        <w:rPr>
          <w:rFonts w:ascii="Times New Roman" w:hAnsi="Times New Roman" w:cs="Times New Roman"/>
          <w:sz w:val="24"/>
        </w:rPr>
        <w:t xml:space="preserve"> млн. рублей и у</w:t>
      </w:r>
      <w:r w:rsidR="002D6B7B" w:rsidRPr="002D6B7B">
        <w:rPr>
          <w:rFonts w:ascii="Times New Roman" w:hAnsi="Times New Roman" w:cs="Times New Roman"/>
          <w:sz w:val="24"/>
        </w:rPr>
        <w:t>меньшился</w:t>
      </w:r>
      <w:r w:rsidRPr="002D6B7B">
        <w:rPr>
          <w:rFonts w:ascii="Times New Roman" w:hAnsi="Times New Roman" w:cs="Times New Roman"/>
          <w:sz w:val="24"/>
        </w:rPr>
        <w:t xml:space="preserve"> на </w:t>
      </w:r>
      <w:r w:rsidR="00034C01" w:rsidRPr="002D6B7B">
        <w:rPr>
          <w:rFonts w:ascii="Times New Roman" w:hAnsi="Times New Roman" w:cs="Times New Roman"/>
          <w:sz w:val="24"/>
        </w:rPr>
        <w:t>2</w:t>
      </w:r>
      <w:r w:rsidR="002D6B7B" w:rsidRPr="002D6B7B">
        <w:rPr>
          <w:rFonts w:ascii="Times New Roman" w:hAnsi="Times New Roman" w:cs="Times New Roman"/>
          <w:sz w:val="24"/>
        </w:rPr>
        <w:t>5</w:t>
      </w:r>
      <w:r w:rsidRPr="002D6B7B">
        <w:rPr>
          <w:rFonts w:ascii="Times New Roman" w:hAnsi="Times New Roman" w:cs="Times New Roman"/>
          <w:sz w:val="24"/>
        </w:rPr>
        <w:t>% к уровню 201</w:t>
      </w:r>
      <w:r w:rsidR="002D6B7B" w:rsidRPr="002D6B7B">
        <w:rPr>
          <w:rFonts w:ascii="Times New Roman" w:hAnsi="Times New Roman" w:cs="Times New Roman"/>
          <w:sz w:val="24"/>
        </w:rPr>
        <w:t>9</w:t>
      </w:r>
      <w:r w:rsidRPr="002D6B7B">
        <w:rPr>
          <w:rFonts w:ascii="Times New Roman" w:hAnsi="Times New Roman" w:cs="Times New Roman"/>
          <w:sz w:val="24"/>
        </w:rPr>
        <w:t xml:space="preserve"> года.</w:t>
      </w:r>
    </w:p>
    <w:p w:rsidR="00067C01" w:rsidRPr="002D6B7B" w:rsidRDefault="00067C01" w:rsidP="00067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D6B7B">
        <w:rPr>
          <w:rFonts w:ascii="Times New Roman" w:hAnsi="Times New Roman" w:cs="Times New Roman"/>
          <w:sz w:val="24"/>
        </w:rPr>
        <w:t xml:space="preserve">Сдерживающими факторами развития рынка общественного питания </w:t>
      </w:r>
      <w:r w:rsidR="002D6B7B" w:rsidRPr="002D6B7B">
        <w:rPr>
          <w:rFonts w:ascii="Times New Roman" w:hAnsi="Times New Roman" w:cs="Times New Roman"/>
          <w:sz w:val="24"/>
        </w:rPr>
        <w:t xml:space="preserve">в 2020 году, стала приостановка деятельности объектов общественного питания в связи с распространением </w:t>
      </w:r>
      <w:proofErr w:type="spellStart"/>
      <w:r w:rsidR="002D6B7B" w:rsidRPr="002D6B7B">
        <w:rPr>
          <w:rFonts w:ascii="Times New Roman" w:hAnsi="Times New Roman" w:cs="Times New Roman"/>
          <w:sz w:val="24"/>
        </w:rPr>
        <w:t>короновирусной</w:t>
      </w:r>
      <w:proofErr w:type="spellEnd"/>
      <w:r w:rsidR="002D6B7B" w:rsidRPr="002D6B7B">
        <w:rPr>
          <w:rFonts w:ascii="Times New Roman" w:hAnsi="Times New Roman" w:cs="Times New Roman"/>
          <w:sz w:val="24"/>
        </w:rPr>
        <w:t xml:space="preserve"> инфекции (2019-</w:t>
      </w:r>
      <w:proofErr w:type="spellStart"/>
      <w:r w:rsidR="002D6B7B" w:rsidRPr="002D6B7B">
        <w:rPr>
          <w:rFonts w:ascii="Times New Roman" w:hAnsi="Times New Roman" w:cs="Times New Roman"/>
          <w:sz w:val="24"/>
          <w:lang w:val="en-US"/>
        </w:rPr>
        <w:t>nCOV</w:t>
      </w:r>
      <w:proofErr w:type="spellEnd"/>
      <w:r w:rsidR="002D6B7B" w:rsidRPr="002D6B7B">
        <w:rPr>
          <w:rFonts w:ascii="Times New Roman" w:hAnsi="Times New Roman" w:cs="Times New Roman"/>
          <w:sz w:val="24"/>
        </w:rPr>
        <w:t>)</w:t>
      </w:r>
      <w:r w:rsidRPr="002D6B7B">
        <w:rPr>
          <w:rFonts w:ascii="Times New Roman" w:hAnsi="Times New Roman" w:cs="Times New Roman"/>
          <w:sz w:val="24"/>
        </w:rPr>
        <w:t>. Сохраняется проблема подбора, воспитания и удержания квалифицированного персонала.</w:t>
      </w:r>
    </w:p>
    <w:p w:rsidR="00067C01" w:rsidRPr="002A179F" w:rsidRDefault="00067C01" w:rsidP="00067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179F">
        <w:rPr>
          <w:rFonts w:ascii="Times New Roman" w:hAnsi="Times New Roman" w:cs="Times New Roman"/>
          <w:sz w:val="24"/>
        </w:rPr>
        <w:t xml:space="preserve">Но в тоже время перспективным направлением развития общественного питания в Саткинском муниципальном районе является общедоступная сеть предприятий </w:t>
      </w:r>
      <w:r w:rsidRPr="002A179F">
        <w:rPr>
          <w:rFonts w:ascii="Times New Roman" w:hAnsi="Times New Roman" w:cs="Times New Roman"/>
          <w:sz w:val="24"/>
        </w:rPr>
        <w:lastRenderedPageBreak/>
        <w:t>общественного питания, ориентированная на различные группы потребителей, включая сеть быстрого питания.</w:t>
      </w:r>
    </w:p>
    <w:p w:rsidR="00067C01" w:rsidRPr="002A179F" w:rsidRDefault="00067C01" w:rsidP="00067C0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179F">
        <w:rPr>
          <w:rFonts w:ascii="Times New Roman" w:hAnsi="Times New Roman" w:cs="Times New Roman"/>
          <w:sz w:val="24"/>
        </w:rPr>
        <w:t>В 20</w:t>
      </w:r>
      <w:r w:rsidR="00034C01" w:rsidRPr="002A179F">
        <w:rPr>
          <w:rFonts w:ascii="Times New Roman" w:hAnsi="Times New Roman" w:cs="Times New Roman"/>
          <w:sz w:val="24"/>
        </w:rPr>
        <w:t>2</w:t>
      </w:r>
      <w:r w:rsidR="002A179F" w:rsidRPr="002A179F">
        <w:rPr>
          <w:rFonts w:ascii="Times New Roman" w:hAnsi="Times New Roman" w:cs="Times New Roman"/>
          <w:sz w:val="24"/>
        </w:rPr>
        <w:t>1</w:t>
      </w:r>
      <w:r w:rsidRPr="002A179F">
        <w:rPr>
          <w:rFonts w:ascii="Times New Roman" w:hAnsi="Times New Roman" w:cs="Times New Roman"/>
          <w:sz w:val="24"/>
        </w:rPr>
        <w:t xml:space="preserve"> году оборот общественного питания прогнозируется в размере                                        </w:t>
      </w:r>
      <w:r w:rsidR="002A179F" w:rsidRPr="002A179F">
        <w:rPr>
          <w:rFonts w:ascii="Times New Roman" w:hAnsi="Times New Roman" w:cs="Times New Roman"/>
          <w:sz w:val="24"/>
        </w:rPr>
        <w:t>76,6</w:t>
      </w:r>
      <w:r w:rsidRPr="002A179F">
        <w:rPr>
          <w:rFonts w:ascii="Times New Roman" w:hAnsi="Times New Roman" w:cs="Times New Roman"/>
          <w:sz w:val="24"/>
        </w:rPr>
        <w:t xml:space="preserve"> млн. рублей, что в сопоставимых ценах составляет 10</w:t>
      </w:r>
      <w:r w:rsidR="002A179F" w:rsidRPr="002A179F">
        <w:rPr>
          <w:rFonts w:ascii="Times New Roman" w:hAnsi="Times New Roman" w:cs="Times New Roman"/>
          <w:sz w:val="24"/>
        </w:rPr>
        <w:t>2,3</w:t>
      </w:r>
      <w:r w:rsidRPr="002A179F">
        <w:rPr>
          <w:rFonts w:ascii="Times New Roman" w:hAnsi="Times New Roman" w:cs="Times New Roman"/>
          <w:sz w:val="24"/>
        </w:rPr>
        <w:t>% к уровню 20</w:t>
      </w:r>
      <w:r w:rsidR="002A179F" w:rsidRPr="002A179F">
        <w:rPr>
          <w:rFonts w:ascii="Times New Roman" w:hAnsi="Times New Roman" w:cs="Times New Roman"/>
          <w:sz w:val="24"/>
        </w:rPr>
        <w:t>20</w:t>
      </w:r>
      <w:r w:rsidRPr="002A179F">
        <w:rPr>
          <w:rFonts w:ascii="Times New Roman" w:hAnsi="Times New Roman" w:cs="Times New Roman"/>
          <w:sz w:val="24"/>
        </w:rPr>
        <w:t xml:space="preserve"> года.</w:t>
      </w:r>
    </w:p>
    <w:p w:rsidR="00067C01" w:rsidRPr="002A6C19" w:rsidRDefault="00067C01" w:rsidP="00067C0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6C19">
        <w:rPr>
          <w:rFonts w:ascii="Times New Roman" w:hAnsi="Times New Roman" w:cs="Times New Roman"/>
          <w:sz w:val="24"/>
        </w:rPr>
        <w:t>Объем платных услуг населению по крупным и средним организациям в 20</w:t>
      </w:r>
      <w:r w:rsidR="002A6C19" w:rsidRPr="002A6C19">
        <w:rPr>
          <w:rFonts w:ascii="Times New Roman" w:hAnsi="Times New Roman" w:cs="Times New Roman"/>
          <w:sz w:val="24"/>
        </w:rPr>
        <w:t>20</w:t>
      </w:r>
      <w:r w:rsidRPr="002A6C19">
        <w:rPr>
          <w:rFonts w:ascii="Times New Roman" w:hAnsi="Times New Roman" w:cs="Times New Roman"/>
          <w:sz w:val="24"/>
        </w:rPr>
        <w:t xml:space="preserve"> году составил </w:t>
      </w:r>
      <w:r w:rsidR="002A6C19" w:rsidRPr="002A6C19">
        <w:rPr>
          <w:rFonts w:ascii="Times New Roman" w:hAnsi="Times New Roman" w:cs="Times New Roman"/>
          <w:sz w:val="24"/>
        </w:rPr>
        <w:t>982,4</w:t>
      </w:r>
      <w:r w:rsidRPr="002A6C19">
        <w:rPr>
          <w:rFonts w:ascii="Times New Roman" w:hAnsi="Times New Roman" w:cs="Times New Roman"/>
          <w:sz w:val="24"/>
        </w:rPr>
        <w:t xml:space="preserve"> млн. рублей и увеличился </w:t>
      </w:r>
      <w:r w:rsidR="002A6C19">
        <w:rPr>
          <w:rFonts w:ascii="Times New Roman" w:hAnsi="Times New Roman" w:cs="Times New Roman"/>
          <w:sz w:val="24"/>
        </w:rPr>
        <w:t xml:space="preserve">в сопоставимых ценах </w:t>
      </w:r>
      <w:r w:rsidRPr="002A6C19">
        <w:rPr>
          <w:rFonts w:ascii="Times New Roman" w:hAnsi="Times New Roman" w:cs="Times New Roman"/>
          <w:sz w:val="24"/>
        </w:rPr>
        <w:t xml:space="preserve">на </w:t>
      </w:r>
      <w:r w:rsidR="002A6C19">
        <w:rPr>
          <w:rFonts w:ascii="Times New Roman" w:hAnsi="Times New Roman" w:cs="Times New Roman"/>
          <w:sz w:val="24"/>
        </w:rPr>
        <w:t>2,0</w:t>
      </w:r>
      <w:r w:rsidRPr="002A6C19">
        <w:rPr>
          <w:rFonts w:ascii="Times New Roman" w:hAnsi="Times New Roman" w:cs="Times New Roman"/>
          <w:sz w:val="24"/>
        </w:rPr>
        <w:t>% к уровню 201</w:t>
      </w:r>
      <w:r w:rsidR="002A6C19" w:rsidRPr="002A6C19">
        <w:rPr>
          <w:rFonts w:ascii="Times New Roman" w:hAnsi="Times New Roman" w:cs="Times New Roman"/>
          <w:sz w:val="24"/>
        </w:rPr>
        <w:t>9</w:t>
      </w:r>
      <w:r w:rsidRPr="002A6C19">
        <w:rPr>
          <w:rFonts w:ascii="Times New Roman" w:hAnsi="Times New Roman" w:cs="Times New Roman"/>
          <w:sz w:val="24"/>
        </w:rPr>
        <w:t xml:space="preserve"> года.</w:t>
      </w:r>
    </w:p>
    <w:p w:rsidR="00067C01" w:rsidRPr="002A6C19" w:rsidRDefault="00067C01" w:rsidP="00067C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6C19">
        <w:rPr>
          <w:rFonts w:ascii="Times New Roman" w:hAnsi="Times New Roman" w:cs="Times New Roman"/>
          <w:sz w:val="24"/>
        </w:rPr>
        <w:t>Оказание платных услуг – это важный сектор экономики. Этому экономическому сегменту отводится важная роль, так как его считают социально значимым сектором экономики. Оказание платных услуг населению – это платные виды деятельности для физических лиц производственного и непроизводственного характера. Деятельность которых направлена на удовлетворение духовных и материальных потребностей людей вне их общественно-политической и профессиональной деятельности.</w:t>
      </w:r>
    </w:p>
    <w:p w:rsidR="00067C01" w:rsidRPr="002A6C19" w:rsidRDefault="00067C01" w:rsidP="00067C0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6C19">
        <w:rPr>
          <w:rFonts w:ascii="Times New Roman" w:hAnsi="Times New Roman" w:cs="Times New Roman"/>
          <w:sz w:val="24"/>
        </w:rPr>
        <w:t>В 20</w:t>
      </w:r>
      <w:r w:rsidR="002A6C19" w:rsidRPr="002A6C19">
        <w:rPr>
          <w:rFonts w:ascii="Times New Roman" w:hAnsi="Times New Roman" w:cs="Times New Roman"/>
          <w:sz w:val="24"/>
        </w:rPr>
        <w:t>21</w:t>
      </w:r>
      <w:r w:rsidRPr="002A6C19">
        <w:rPr>
          <w:rFonts w:ascii="Times New Roman" w:hAnsi="Times New Roman" w:cs="Times New Roman"/>
          <w:sz w:val="24"/>
        </w:rPr>
        <w:t xml:space="preserve"> году объем платных услуг населению прогнозируется в размере </w:t>
      </w:r>
      <w:r w:rsidR="002A6C19" w:rsidRPr="002A6C19">
        <w:rPr>
          <w:rFonts w:ascii="Times New Roman" w:hAnsi="Times New Roman" w:cs="Times New Roman"/>
          <w:sz w:val="24"/>
        </w:rPr>
        <w:t>1004,6</w:t>
      </w:r>
      <w:r w:rsidRPr="002A6C19">
        <w:rPr>
          <w:rFonts w:ascii="Times New Roman" w:hAnsi="Times New Roman" w:cs="Times New Roman"/>
          <w:sz w:val="24"/>
        </w:rPr>
        <w:t xml:space="preserve"> млн. рублей, что в сопоставимых ценах составляет </w:t>
      </w:r>
      <w:r w:rsidR="002A6C19" w:rsidRPr="002A6C19">
        <w:rPr>
          <w:rFonts w:ascii="Times New Roman" w:hAnsi="Times New Roman" w:cs="Times New Roman"/>
          <w:sz w:val="24"/>
        </w:rPr>
        <w:t>98,8</w:t>
      </w:r>
      <w:r w:rsidRPr="002A6C19">
        <w:rPr>
          <w:rFonts w:ascii="Times New Roman" w:hAnsi="Times New Roman" w:cs="Times New Roman"/>
          <w:sz w:val="24"/>
        </w:rPr>
        <w:t>% к уровню 20</w:t>
      </w:r>
      <w:r w:rsidR="002A6C19" w:rsidRPr="002A6C19">
        <w:rPr>
          <w:rFonts w:ascii="Times New Roman" w:hAnsi="Times New Roman" w:cs="Times New Roman"/>
          <w:sz w:val="24"/>
        </w:rPr>
        <w:t>20</w:t>
      </w:r>
      <w:r w:rsidRPr="002A6C19">
        <w:rPr>
          <w:rFonts w:ascii="Times New Roman" w:hAnsi="Times New Roman" w:cs="Times New Roman"/>
          <w:sz w:val="24"/>
        </w:rPr>
        <w:t xml:space="preserve"> года.</w:t>
      </w:r>
    </w:p>
    <w:p w:rsidR="00067C01" w:rsidRPr="00864FD1" w:rsidRDefault="00067C01" w:rsidP="00F308EA">
      <w:pPr>
        <w:pStyle w:val="a7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067C01" w:rsidRPr="00864FD1" w:rsidRDefault="00067C01" w:rsidP="00F308EA">
      <w:pPr>
        <w:pStyle w:val="a7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F308EA" w:rsidRPr="001F0430" w:rsidRDefault="00F308E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F0430">
        <w:rPr>
          <w:rFonts w:ascii="Times New Roman" w:hAnsi="Times New Roman" w:cs="Times New Roman"/>
          <w:b/>
          <w:sz w:val="24"/>
          <w:szCs w:val="28"/>
        </w:rPr>
        <w:t>Малое предпринимательство</w:t>
      </w:r>
    </w:p>
    <w:p w:rsidR="001D0FC6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3C4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субъектов малого предпринимательства является одним из важнейших элементов рыночной экономики, способствует формированию конкурентной среды в экономике Саткинского муниципального района.</w:t>
      </w:r>
    </w:p>
    <w:p w:rsidR="0002532B" w:rsidRPr="00977AB8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С целью оказания поддержки и обеспечения стабильного развития предпринимательства, как важнейшего компонента формирования территориальной и отраслевой экономики, создания новых рабочих мест, рационального использования природных, материальных и трудовых ресурсов, реализуется муниципальная программа «Развитие экономического потенциала Саткинского  муниципального района  Челябинской области, в том числе через механизмы поддержки и развития малого и среднего предпринимательства», в рамках которой МАУ «</w:t>
      </w:r>
      <w:proofErr w:type="spellStart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ЦИРиП-Проектный</w:t>
      </w:r>
      <w:proofErr w:type="spellEnd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офис» оказывает субъектам малого и среднего предпринимательства следующие виды поддержки:</w:t>
      </w:r>
    </w:p>
    <w:p w:rsidR="0002532B" w:rsidRPr="00977AB8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– информационно-консультационные услуги;</w:t>
      </w:r>
    </w:p>
    <w:p w:rsidR="0002532B" w:rsidRPr="00977AB8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– сопровождение инвестиционных проектов, реализуемых и (или) планируемых к реализации на территории Саткинского муниципального района;</w:t>
      </w:r>
    </w:p>
    <w:p w:rsidR="0002532B" w:rsidRPr="00977AB8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финансовая поддержка в виде предоставления грантов в рамках конкурса «</w:t>
      </w:r>
      <w:proofErr w:type="spellStart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Startup</w:t>
      </w:r>
      <w:proofErr w:type="spellEnd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Battle</w:t>
      </w:r>
      <w:proofErr w:type="spellEnd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» начинающим предпринимателям для воплощения абсолютно новой бизнес-идеи.</w:t>
      </w:r>
    </w:p>
    <w:p w:rsidR="0002532B" w:rsidRPr="00977AB8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Кроме этого в рамках поддержки малого и среднего бизнеса:</w:t>
      </w:r>
    </w:p>
    <w:p w:rsidR="0002532B" w:rsidRPr="00977AB8" w:rsidRDefault="0002532B" w:rsidP="0002532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функционирует сайт «Малый бизнес Саткинского муниципального района»;</w:t>
      </w:r>
    </w:p>
    <w:p w:rsidR="0002532B" w:rsidRPr="00977AB8" w:rsidRDefault="0002532B" w:rsidP="0002532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 целью конструктивного сотрудничества и взаимодействия органов местного самоуправления с предпринимательским сообществом работают общественный координационный совет (ОКС) по привлечению инвестиций и развитию малого и среднего предпринимательства;</w:t>
      </w:r>
    </w:p>
    <w:p w:rsidR="0002532B" w:rsidRDefault="0002532B" w:rsidP="0002532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функционирует</w:t>
      </w:r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>Микрокредитная</w:t>
      </w:r>
      <w:proofErr w:type="spellEnd"/>
      <w:r w:rsidRPr="00977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компания «Фонд развития бизнеса» Саткинского муниципального района. Микрокредитование субъектов малого и среднего бизнеса осуществляется по разным программам на льготных условиях.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1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Микрофинансирование осуществляется по договорам </w:t>
      </w:r>
      <w:proofErr w:type="spellStart"/>
      <w:r w:rsidRPr="005E1C2E">
        <w:rPr>
          <w:rFonts w:ascii="Times New Roman" w:hAnsi="Times New Roman" w:cs="Times New Roman"/>
          <w:color w:val="000000" w:themeColor="text1"/>
          <w:sz w:val="24"/>
          <w:szCs w:val="24"/>
        </w:rPr>
        <w:t>микрозайма</w:t>
      </w:r>
      <w:proofErr w:type="spellEnd"/>
      <w:r w:rsidRPr="005E1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возвратно-платной основе на цели, определенные технико-экономическим обоснованием </w:t>
      </w:r>
      <w:proofErr w:type="spellStart"/>
      <w:r w:rsidRPr="005E1C2E">
        <w:rPr>
          <w:rFonts w:ascii="Times New Roman" w:hAnsi="Times New Roman" w:cs="Times New Roman"/>
          <w:color w:val="000000" w:themeColor="text1"/>
          <w:sz w:val="24"/>
          <w:szCs w:val="24"/>
        </w:rPr>
        <w:t>микрозайма</w:t>
      </w:r>
      <w:proofErr w:type="spellEnd"/>
      <w:r w:rsidRPr="005E1C2E">
        <w:rPr>
          <w:rFonts w:ascii="Times New Roman" w:hAnsi="Times New Roman" w:cs="Times New Roman"/>
          <w:color w:val="000000" w:themeColor="text1"/>
          <w:sz w:val="24"/>
          <w:szCs w:val="24"/>
        </w:rPr>
        <w:t>, по процентной ставке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9,5 или 10 % годовых в зависимости от вида деятельности.</w:t>
      </w:r>
    </w:p>
    <w:p w:rsidR="0002532B" w:rsidRDefault="001D0FC6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малых организаций, осуществляющих финансово-хозяйственную деятельность, в Сатки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нском муниципальном районе в 2020</w:t>
      </w: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составило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372</w:t>
      </w: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меньше</w:t>
      </w: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его периода прошлого года на 5,6</w:t>
      </w:r>
      <w:r w:rsidRPr="00687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  <w:r w:rsidR="000253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2532B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32B">
        <w:rPr>
          <w:rFonts w:ascii="Times New Roman" w:hAnsi="Times New Roman" w:cs="Times New Roman"/>
          <w:sz w:val="24"/>
          <w:szCs w:val="26"/>
        </w:rPr>
        <w:t>В 2021 году количество малых организаций по оценке составит 365 единиц,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что связано со сложившейся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 xml:space="preserve">ситуацией, вызванной распространением новой </w:t>
      </w:r>
      <w:proofErr w:type="spellStart"/>
      <w:r w:rsidRPr="0002532B">
        <w:rPr>
          <w:rFonts w:ascii="Times New Roman" w:hAnsi="Times New Roman" w:cs="Times New Roman"/>
          <w:sz w:val="24"/>
          <w:szCs w:val="26"/>
        </w:rPr>
        <w:t>коронавирусной</w:t>
      </w:r>
      <w:proofErr w:type="spellEnd"/>
      <w:r w:rsidRPr="0002532B">
        <w:rPr>
          <w:rFonts w:ascii="Times New Roman" w:hAnsi="Times New Roman" w:cs="Times New Roman"/>
          <w:sz w:val="24"/>
          <w:szCs w:val="26"/>
        </w:rPr>
        <w:t xml:space="preserve"> инфекции, а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также с особенностями ведения Единого реестра субъектов малого и среднего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предпринимательства (далее именуется - Реестр), который ежегодно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актуализируется Федеральной налоговой службой (исключаются субъекты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малого и среднего предпринимательства, не предоставившие в срок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необходимые сведения и отчетность, а также не осуществлявшие операции хотя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бы по одному банковскому счету в течение 12 месяцев)</w:t>
      </w:r>
      <w:r>
        <w:rPr>
          <w:rFonts w:ascii="Times New Roman" w:hAnsi="Times New Roman" w:cs="Times New Roman"/>
          <w:sz w:val="24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2532B" w:rsidRPr="0002532B" w:rsidRDefault="0002532B" w:rsidP="000253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02532B">
        <w:rPr>
          <w:rFonts w:ascii="Times New Roman" w:hAnsi="Times New Roman" w:cs="Times New Roman"/>
          <w:sz w:val="24"/>
          <w:szCs w:val="26"/>
        </w:rPr>
        <w:t xml:space="preserve">Также наметилась тенденция сохранения / уменьшения количества малых и </w:t>
      </w:r>
      <w:proofErr w:type="spellStart"/>
      <w:r w:rsidRPr="0002532B">
        <w:rPr>
          <w:rFonts w:ascii="Times New Roman" w:hAnsi="Times New Roman" w:cs="Times New Roman"/>
          <w:sz w:val="24"/>
          <w:szCs w:val="26"/>
        </w:rPr>
        <w:t>микропредприятий</w:t>
      </w:r>
      <w:proofErr w:type="spellEnd"/>
      <w:r w:rsidRPr="0002532B">
        <w:rPr>
          <w:rFonts w:ascii="Times New Roman" w:hAnsi="Times New Roman" w:cs="Times New Roman"/>
          <w:sz w:val="24"/>
          <w:szCs w:val="26"/>
        </w:rPr>
        <w:t xml:space="preserve"> ввиду того, что юридические лица перерегистрируются в индивидуальные предприниматели, так как определяют для себя оптимальную форму для ведения деятельности, в том числе применение специального налогового режима «Налог на профессиональный доход».</w:t>
      </w:r>
    </w:p>
    <w:p w:rsidR="0002532B" w:rsidRDefault="0002532B" w:rsidP="001D0FC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в прогнозный период:</w:t>
      </w:r>
    </w:p>
    <w:p w:rsidR="001D0FC6" w:rsidRPr="00555F70" w:rsidRDefault="0002532B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 году: по консервативному варианту ожидается снижение количества малых организаций на 13 единиц по сравнению с оценкой 2021 года и составит 352 единицы; по базовому варианту ожидается снижение на 5 единиц, что составит 360 единиц.</w:t>
      </w:r>
    </w:p>
    <w:p w:rsidR="001D0FC6" w:rsidRPr="00555F70" w:rsidRDefault="0002532B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 году: по консервативному варианту ожидается уменьшение количества малых организаций на 5 единиц по сравнению с прогнозом 2022 года, что составит 347 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единиц; по базовому варианту ожидается также снижение на 2 единицы, что составит 358 единицы.</w:t>
      </w:r>
    </w:p>
    <w:p w:rsidR="00370DE4" w:rsidRDefault="0002532B" w:rsidP="00370DE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 году: по консервативному варианту ожидается уменьшение количества малых организаций на 6 единиц по сравнению с прогнозом 2023 года, что составит 341 единица; по базовому варианту также снижение на 6 единиц, что составит 352 единицы.</w:t>
      </w:r>
    </w:p>
    <w:p w:rsidR="001D0FC6" w:rsidRPr="00370DE4" w:rsidRDefault="0002532B" w:rsidP="00370DE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532B">
        <w:rPr>
          <w:rFonts w:ascii="Times New Roman" w:hAnsi="Times New Roman" w:cs="Times New Roman"/>
          <w:sz w:val="24"/>
          <w:szCs w:val="26"/>
        </w:rPr>
        <w:t>Малый бизнес имеет преимущество перед крупными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организациями в сфере занятости населения по мобильности создания новых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02532B">
        <w:rPr>
          <w:rFonts w:ascii="Times New Roman" w:hAnsi="Times New Roman" w:cs="Times New Roman"/>
          <w:sz w:val="24"/>
          <w:szCs w:val="26"/>
        </w:rPr>
        <w:t>рабочих мест</w:t>
      </w:r>
      <w:r>
        <w:rPr>
          <w:rFonts w:ascii="Times New Roman" w:hAnsi="Times New Roman" w:cs="Times New Roman"/>
          <w:sz w:val="24"/>
          <w:szCs w:val="26"/>
        </w:rPr>
        <w:t xml:space="preserve">, но с учетом </w:t>
      </w:r>
      <w:r w:rsidR="00370DE4">
        <w:rPr>
          <w:rFonts w:ascii="Times New Roman" w:hAnsi="Times New Roman" w:cs="Times New Roman"/>
          <w:sz w:val="24"/>
          <w:szCs w:val="26"/>
        </w:rPr>
        <w:t>в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ведени</w:t>
      </w:r>
      <w:r w:rsidR="00370DE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ограничительных мер из-за </w:t>
      </w:r>
      <w:proofErr w:type="spellStart"/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коронавирусной</w:t>
      </w:r>
      <w:proofErr w:type="spellEnd"/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инфекции, деятельность отдельных</w:t>
      </w:r>
      <w:r w:rsidR="00370D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предприятий не осуществлялась. </w:t>
      </w:r>
      <w:r w:rsidR="001D0FC6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2020 года среднесписочная численность работников (без внешних совместителей), занятых на малых предприятиях Саткинского района, уменьшилась на 471 человек по сравнению с уровнем прошлого года и составила 3,66 тыс. человек. </w:t>
      </w:r>
    </w:p>
    <w:p w:rsidR="001D0FC6" w:rsidRPr="00555F70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В связи со снижением количества малых организаций, ожидается снижение численности в 2021 году до 3,59 тыс. человек.</w:t>
      </w:r>
    </w:p>
    <w:p w:rsidR="001D0FC6" w:rsidRPr="00D923B6" w:rsidRDefault="001D0FC6" w:rsidP="00555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период 2022-2024 годы планируется снижение численности </w:t>
      </w:r>
      <w:r w:rsidR="00555F70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работников на малых</w:t>
      </w:r>
      <w:r w:rsid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организаций, </w:t>
      </w:r>
      <w:r w:rsidR="00555F70" w:rsidRPr="00820D33">
        <w:rPr>
          <w:rFonts w:ascii="Times New Roman" w:hAnsi="Times New Roman" w:cs="Times New Roman"/>
          <w:sz w:val="24"/>
          <w:szCs w:val="24"/>
        </w:rPr>
        <w:t xml:space="preserve">что обусловлено изменением структуры </w:t>
      </w:r>
      <w:r w:rsidR="00370DE4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="00555F70" w:rsidRPr="00820D33">
        <w:rPr>
          <w:rFonts w:ascii="Times New Roman" w:hAnsi="Times New Roman" w:cs="Times New Roman"/>
          <w:sz w:val="24"/>
          <w:szCs w:val="24"/>
        </w:rPr>
        <w:t>малого и среднего</w:t>
      </w:r>
      <w:r w:rsidR="00555F70">
        <w:rPr>
          <w:rFonts w:ascii="Times New Roman" w:hAnsi="Times New Roman" w:cs="Times New Roman"/>
          <w:sz w:val="24"/>
          <w:szCs w:val="24"/>
        </w:rPr>
        <w:t xml:space="preserve"> </w:t>
      </w:r>
      <w:r w:rsidR="00555F70" w:rsidRPr="00820D33">
        <w:rPr>
          <w:rFonts w:ascii="Times New Roman" w:hAnsi="Times New Roman" w:cs="Times New Roman"/>
          <w:sz w:val="24"/>
          <w:szCs w:val="24"/>
        </w:rPr>
        <w:t>предпринимательства, в которой превалируют индивидуальные</w:t>
      </w:r>
      <w:r w:rsidR="00555F70">
        <w:rPr>
          <w:rFonts w:ascii="Times New Roman" w:hAnsi="Times New Roman" w:cs="Times New Roman"/>
          <w:sz w:val="24"/>
          <w:szCs w:val="24"/>
        </w:rPr>
        <w:t xml:space="preserve"> </w:t>
      </w:r>
      <w:r w:rsidR="00555F70" w:rsidRPr="00820D33">
        <w:rPr>
          <w:rFonts w:ascii="Times New Roman" w:hAnsi="Times New Roman" w:cs="Times New Roman"/>
          <w:sz w:val="24"/>
          <w:szCs w:val="24"/>
        </w:rPr>
        <w:t xml:space="preserve">предприниматели и </w:t>
      </w:r>
      <w:proofErr w:type="spellStart"/>
      <w:r w:rsidR="00555F70" w:rsidRPr="00820D33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555F70" w:rsidRPr="00820D33">
        <w:rPr>
          <w:rFonts w:ascii="Times New Roman" w:hAnsi="Times New Roman" w:cs="Times New Roman"/>
          <w:sz w:val="24"/>
          <w:szCs w:val="24"/>
        </w:rPr>
        <w:t xml:space="preserve"> граждане, как правило, не имеющие наемных</w:t>
      </w:r>
      <w:r w:rsidR="00555F70">
        <w:rPr>
          <w:rFonts w:ascii="Times New Roman" w:hAnsi="Times New Roman" w:cs="Times New Roman"/>
          <w:sz w:val="24"/>
          <w:szCs w:val="24"/>
        </w:rPr>
        <w:t xml:space="preserve"> </w:t>
      </w:r>
      <w:r w:rsidR="00555F70" w:rsidRPr="00820D33">
        <w:rPr>
          <w:rFonts w:ascii="Times New Roman" w:hAnsi="Times New Roman" w:cs="Times New Roman"/>
          <w:sz w:val="24"/>
          <w:szCs w:val="24"/>
        </w:rPr>
        <w:t>работников,</w:t>
      </w:r>
      <w:r w:rsidR="00555F70" w:rsidRPr="00555F70">
        <w:rPr>
          <w:rFonts w:ascii="Times New Roman" w:hAnsi="Times New Roman" w:cs="Times New Roman"/>
          <w:sz w:val="24"/>
          <w:szCs w:val="24"/>
        </w:rPr>
        <w:t xml:space="preserve"> </w:t>
      </w:r>
      <w:r w:rsidR="00555F70" w:rsidRPr="00820D33">
        <w:rPr>
          <w:rFonts w:ascii="Times New Roman" w:hAnsi="Times New Roman" w:cs="Times New Roman"/>
          <w:sz w:val="24"/>
          <w:szCs w:val="24"/>
        </w:rPr>
        <w:t>а также высвобождением работников малых предприятий, из-за сложившейся</w:t>
      </w:r>
      <w:r w:rsidR="00555F70">
        <w:rPr>
          <w:rFonts w:ascii="Times New Roman" w:hAnsi="Times New Roman" w:cs="Times New Roman"/>
          <w:sz w:val="24"/>
          <w:szCs w:val="24"/>
        </w:rPr>
        <w:t xml:space="preserve"> </w:t>
      </w:r>
      <w:r w:rsidR="00555F70" w:rsidRPr="00820D33">
        <w:rPr>
          <w:rFonts w:ascii="Times New Roman" w:hAnsi="Times New Roman" w:cs="Times New Roman"/>
          <w:sz w:val="24"/>
          <w:szCs w:val="24"/>
        </w:rPr>
        <w:t xml:space="preserve">ситуации, вызванной распространением новой </w:t>
      </w:r>
      <w:proofErr w:type="spellStart"/>
      <w:r w:rsidR="00555F70" w:rsidRPr="00820D3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555F70" w:rsidRPr="00820D33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370DE4">
        <w:rPr>
          <w:rFonts w:ascii="Times New Roman" w:hAnsi="Times New Roman" w:cs="Times New Roman"/>
          <w:sz w:val="24"/>
          <w:szCs w:val="24"/>
        </w:rPr>
        <w:t>.</w:t>
      </w:r>
    </w:p>
    <w:p w:rsidR="001D0FC6" w:rsidRPr="001C1F91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C1F91">
        <w:rPr>
          <w:rFonts w:ascii="Times New Roman" w:hAnsi="Times New Roman" w:cs="Times New Roman"/>
          <w:color w:val="000000" w:themeColor="text1"/>
          <w:sz w:val="24"/>
          <w:szCs w:val="24"/>
        </w:rPr>
        <w:t>В 2022 году: по консервативному варианту ожидается снижение численности работников на малых организациях на 140 человек по сравнению с оценкой 2021 года, что составит 3,45 тыс. человек; по базовому варианту ожидается уменьшение на 70 человек, что составит 3,52 тыс. человек.</w:t>
      </w:r>
    </w:p>
    <w:p w:rsidR="001D0FC6" w:rsidRPr="00147829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t>В 2023 году: по консервативному варианту ожидается снижение численности работников на малых организациях на 100 человек по сравнению с прогнозом 2022 года, что составит 3,35 тыс. человек; по базовому варианту ожидается снижение на 20 человек, что составит 3,5 тыс. человек.</w:t>
      </w:r>
    </w:p>
    <w:p w:rsidR="001D0FC6" w:rsidRPr="00147829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t>В 2024 году: по консервативному варианту ожидается рост численности работников на малых организациях на 80 человек по сравнению с прогнозом 2023 года, что составит                              3,27 тыс. человек; по базовому варианту ожидается снижение на 40 человек, что составит                                  3,46 тыс. человек.</w:t>
      </w:r>
    </w:p>
    <w:p w:rsidR="001D0FC6" w:rsidRPr="00147829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Коммерческая деятельность малых организаций характеризуется величиной оборота. По итогам 2020 года оборот малых организаций составил 9 948,4 млн. рублей, что ниже уровня прошлого года на 7,7 %. Индекс производства составил 89,2 %. Основная причина </w:t>
      </w:r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– введение ограничительных мер в отдельных секторах малого бизнеса из-за </w:t>
      </w:r>
      <w:proofErr w:type="spellStart"/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t>коронавирусной</w:t>
      </w:r>
      <w:proofErr w:type="spellEnd"/>
      <w:r w:rsidRPr="0014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инфекции с апреля до середины июля 2020 года, в результате чего деятельность отдельных предприятий не осуществлялась.</w:t>
      </w:r>
    </w:p>
    <w:p w:rsidR="001D0FC6" w:rsidRPr="00555F70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В 2021 году ожидается рост оборота малых предприятий в действующих ценах по сравнению с прошлым годом на 3,6%</w:t>
      </w:r>
      <w:r w:rsidR="00555F70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, что обусловлено повышением</w:t>
      </w: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цен, оборот малых предприятий составит 10 303,6 млн. рублей, при этом снижение оборота в сопоставимых ценах прошлого года на 2,2 %, одна из причин стремительное повышение цен, которое ведет к падению спроса на товары и услуги. Индекс производства в сравнение с прошлым </w:t>
      </w:r>
      <w:r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год</w:t>
      </w:r>
      <w:r w:rsidR="006052C1"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увеличится на 8,6 </w:t>
      </w:r>
      <w:r w:rsidR="006052C1"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процентных </w:t>
      </w:r>
      <w:r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пункта и составит 9</w:t>
      </w:r>
      <w:r w:rsidR="00616FCB"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7,8</w:t>
      </w:r>
      <w:r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% в связи</w:t>
      </w:r>
      <w:r w:rsidR="006052C1"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52C1" w:rsidRPr="00616FCB">
        <w:rPr>
          <w:rFonts w:ascii="Times New Roman" w:hAnsi="Times New Roman" w:cs="Times New Roman"/>
          <w:color w:val="000000" w:themeColor="text1"/>
          <w:sz w:val="24"/>
          <w:szCs w:val="24"/>
        </w:rPr>
        <w:t>постепенным</w:t>
      </w:r>
      <w:r w:rsidR="00605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возобновлением деяте</w:t>
      </w:r>
      <w:r w:rsidR="00555F70"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льности предприятий и </w:t>
      </w:r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снятие ограничительных мер из-за </w:t>
      </w:r>
      <w:proofErr w:type="spellStart"/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>коронавирусной</w:t>
      </w:r>
      <w:proofErr w:type="spellEnd"/>
      <w:r w:rsidRPr="00555F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инфекции ожидается улучшение ситуации на малых предприятиях.</w:t>
      </w:r>
    </w:p>
    <w:p w:rsidR="001D0FC6" w:rsidRPr="00C65BED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условии стабилизации экономики в отдельных отраслях после последствий </w:t>
      </w:r>
      <w:proofErr w:type="spellStart"/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>коронавирусной</w:t>
      </w:r>
      <w:proofErr w:type="spellEnd"/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инфекции, а также оказания различных видов поддержки со стороны государства, планируется </w:t>
      </w:r>
      <w:r w:rsid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постепенное </w:t>
      </w:r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оборота малых предприятий по базовому варианту с 2022-2024 года, по консервативному варианту </w:t>
      </w:r>
      <w:r w:rsidR="00616F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оборота малых предприятий планируется только </w:t>
      </w:r>
      <w:r w:rsidR="00616FCB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 год</w:t>
      </w:r>
      <w:r w:rsidR="00616FC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820D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D0FC6" w:rsidRPr="00C65BED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65B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2022 году: по консервативному варианту оборот увеличится по сравнению с 2021 годом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2,6</w:t>
      </w:r>
      <w:r w:rsidRPr="00C65B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и составит 10 567,8 млн. рублей, индекс производства – 99,0 %; по базовому варианту оборот увеличится на 3,8 % и составит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10 695,5</w:t>
      </w:r>
      <w:r w:rsidRPr="00C65B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рублей, индекс производства – 100,1 %.</w:t>
      </w:r>
    </w:p>
    <w:p w:rsidR="001D0FC6" w:rsidRPr="00C65BED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65BED">
        <w:rPr>
          <w:rFonts w:ascii="Times New Roman" w:hAnsi="Times New Roman" w:cs="Times New Roman"/>
          <w:color w:val="000000" w:themeColor="text1"/>
          <w:sz w:val="24"/>
          <w:szCs w:val="24"/>
        </w:rPr>
        <w:t>В 2023 году: по консервативному варианту оборот увеличится по сравнению с 2022 годом на 3,7 % и составит 10 958,0 млн. рублей, индекс производства – 99,8 %; по базовому варианту оборот вырастет на 4,3 % и составит 11 156,7 млн. рублей, индекс производства – 100,3.</w:t>
      </w:r>
    </w:p>
    <w:p w:rsidR="001D0FC6" w:rsidRDefault="001D0FC6" w:rsidP="001D0F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38DD">
        <w:rPr>
          <w:rFonts w:ascii="Times New Roman" w:hAnsi="Times New Roman" w:cs="Times New Roman"/>
          <w:color w:val="000000" w:themeColor="text1"/>
          <w:sz w:val="24"/>
          <w:szCs w:val="24"/>
        </w:rPr>
        <w:t>В 2024 году: по консервативному варианту оборот увеличится по сравнению с 2023 годом на 3,9 % и составит 11 385,4 млн. рублей, индекс производства – 100,0 %; по базовому варианту оборот вырастет на 4,5 % и составит 11 660,2 млн. рублей, индекс производства – 100,3.</w:t>
      </w:r>
    </w:p>
    <w:p w:rsidR="001D0FC6" w:rsidRDefault="001D0FC6" w:rsidP="001D0F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FCB" w:rsidRPr="00B438DD" w:rsidRDefault="00616FCB" w:rsidP="001D0F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8EA" w:rsidRPr="00E47002" w:rsidRDefault="00F308EA" w:rsidP="00BE27C8">
      <w:pPr>
        <w:pStyle w:val="a7"/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47002">
        <w:rPr>
          <w:rFonts w:ascii="Times New Roman" w:hAnsi="Times New Roman" w:cs="Times New Roman"/>
          <w:b/>
          <w:sz w:val="24"/>
          <w:szCs w:val="28"/>
        </w:rPr>
        <w:t>Инвестиции</w:t>
      </w:r>
    </w:p>
    <w:p w:rsidR="009833BF" w:rsidRPr="00E47002" w:rsidRDefault="001B7554" w:rsidP="001B755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Состояние инвестиционного климата является одним из важнейших индикаторов общеэкономической ситуации и перспектив развития района. Согласно данным за январь-декабрь 20</w:t>
      </w:r>
      <w:r w:rsidR="00E47002" w:rsidRPr="00E47002">
        <w:rPr>
          <w:rFonts w:ascii="Times New Roman" w:hAnsi="Times New Roman" w:cs="Times New Roman"/>
          <w:sz w:val="24"/>
          <w:szCs w:val="24"/>
        </w:rPr>
        <w:t>20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года, объем инвестиций в основной капитал по крупным и средним организациям Саткинского муниципального района составил </w:t>
      </w:r>
      <w:r w:rsidR="00E47002" w:rsidRPr="00E47002">
        <w:rPr>
          <w:rFonts w:ascii="Times New Roman" w:hAnsi="Times New Roman" w:cs="Times New Roman"/>
          <w:sz w:val="24"/>
          <w:szCs w:val="24"/>
        </w:rPr>
        <w:t>7 111,5</w:t>
      </w:r>
      <w:r w:rsidRPr="00E47002">
        <w:rPr>
          <w:rFonts w:ascii="Times New Roman" w:hAnsi="Times New Roman" w:cs="Times New Roman"/>
          <w:sz w:val="24"/>
          <w:szCs w:val="24"/>
        </w:rPr>
        <w:t xml:space="preserve"> млн. рублей, что в </w:t>
      </w:r>
      <w:r w:rsidRPr="00E47002">
        <w:rPr>
          <w:rFonts w:ascii="Times New Roman" w:hAnsi="Times New Roman" w:cs="Times New Roman"/>
          <w:sz w:val="24"/>
          <w:szCs w:val="24"/>
        </w:rPr>
        <w:lastRenderedPageBreak/>
        <w:t xml:space="preserve">сопоставимых ценах выше уровня прошлого года на </w:t>
      </w:r>
      <w:r w:rsidR="00E47002" w:rsidRPr="00E47002">
        <w:rPr>
          <w:rFonts w:ascii="Times New Roman" w:hAnsi="Times New Roman" w:cs="Times New Roman"/>
          <w:sz w:val="24"/>
          <w:szCs w:val="24"/>
        </w:rPr>
        <w:t>27,8</w:t>
      </w:r>
      <w:r w:rsidRPr="00232F15">
        <w:rPr>
          <w:rFonts w:ascii="Times New Roman" w:hAnsi="Times New Roman" w:cs="Times New Roman"/>
          <w:sz w:val="24"/>
          <w:szCs w:val="24"/>
        </w:rPr>
        <w:t xml:space="preserve">%. </w:t>
      </w:r>
      <w:r w:rsidRPr="00CC033D">
        <w:rPr>
          <w:rFonts w:ascii="Times New Roman" w:hAnsi="Times New Roman" w:cs="Times New Roman"/>
          <w:sz w:val="24"/>
          <w:szCs w:val="24"/>
        </w:rPr>
        <w:t>Положительная динамика связана</w:t>
      </w:r>
      <w:r w:rsidR="00E47002" w:rsidRPr="00CC033D">
        <w:rPr>
          <w:rFonts w:ascii="Times New Roman" w:hAnsi="Times New Roman" w:cs="Times New Roman"/>
          <w:sz w:val="24"/>
          <w:szCs w:val="24"/>
        </w:rPr>
        <w:t xml:space="preserve"> с продолжением реализации в 2020</w:t>
      </w:r>
      <w:r w:rsidRPr="00CC033D">
        <w:rPr>
          <w:rFonts w:ascii="Times New Roman" w:hAnsi="Times New Roman" w:cs="Times New Roman"/>
          <w:sz w:val="24"/>
          <w:szCs w:val="24"/>
        </w:rPr>
        <w:t xml:space="preserve"> году инвестиционных проектов ПАО «Комбинат «Магнезит», ООО «Группы «Магнезит», АО «СЧПЗ», резиде</w:t>
      </w:r>
      <w:r w:rsidR="009833BF" w:rsidRPr="00CC033D">
        <w:rPr>
          <w:rFonts w:ascii="Times New Roman" w:hAnsi="Times New Roman" w:cs="Times New Roman"/>
          <w:sz w:val="24"/>
          <w:szCs w:val="24"/>
        </w:rPr>
        <w:t>нта ТОСЭР «Бакал» ООО «</w:t>
      </w:r>
      <w:proofErr w:type="spellStart"/>
      <w:r w:rsidR="009833BF" w:rsidRPr="00CC033D">
        <w:rPr>
          <w:rFonts w:ascii="Times New Roman" w:hAnsi="Times New Roman" w:cs="Times New Roman"/>
          <w:sz w:val="24"/>
          <w:szCs w:val="24"/>
        </w:rPr>
        <w:t>Легпром</w:t>
      </w:r>
      <w:proofErr w:type="spellEnd"/>
      <w:r w:rsidR="009833BF" w:rsidRPr="00CC033D">
        <w:rPr>
          <w:rFonts w:ascii="Times New Roman" w:hAnsi="Times New Roman" w:cs="Times New Roman"/>
          <w:sz w:val="24"/>
          <w:szCs w:val="24"/>
        </w:rPr>
        <w:t xml:space="preserve">» </w:t>
      </w:r>
      <w:r w:rsidR="009833BF" w:rsidRPr="00E47002">
        <w:rPr>
          <w:rFonts w:ascii="Times New Roman" w:hAnsi="Times New Roman" w:cs="Times New Roman"/>
          <w:sz w:val="24"/>
          <w:szCs w:val="24"/>
        </w:rPr>
        <w:t>и реализацией проектов и мероприятий, направленны</w:t>
      </w:r>
      <w:r w:rsidR="00E47002" w:rsidRPr="00E47002">
        <w:rPr>
          <w:rFonts w:ascii="Times New Roman" w:hAnsi="Times New Roman" w:cs="Times New Roman"/>
          <w:sz w:val="24"/>
          <w:szCs w:val="24"/>
        </w:rPr>
        <w:t>х</w:t>
      </w:r>
      <w:r w:rsidR="009833BF" w:rsidRPr="00E47002">
        <w:rPr>
          <w:rFonts w:ascii="Times New Roman" w:hAnsi="Times New Roman" w:cs="Times New Roman"/>
          <w:sz w:val="24"/>
          <w:szCs w:val="24"/>
        </w:rPr>
        <w:t xml:space="preserve"> на создание комфортной среды проживания и благоустройство территории Саткинского муниципального района.</w:t>
      </w:r>
    </w:p>
    <w:p w:rsidR="001B7554" w:rsidRPr="00864FD1" w:rsidRDefault="001B7554" w:rsidP="001B7554">
      <w:pPr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 xml:space="preserve"> Основным источником финансирования организаций являются собственные средства, их доля в общем объеме инвестиций составила </w:t>
      </w:r>
      <w:r w:rsidR="00E47002" w:rsidRPr="00E47002">
        <w:rPr>
          <w:rFonts w:ascii="Times New Roman" w:hAnsi="Times New Roman" w:cs="Times New Roman"/>
          <w:sz w:val="24"/>
          <w:szCs w:val="24"/>
        </w:rPr>
        <w:t>92,3%</w:t>
      </w:r>
      <w:r w:rsidRPr="00E47002">
        <w:rPr>
          <w:rFonts w:ascii="Times New Roman" w:hAnsi="Times New Roman" w:cs="Times New Roman"/>
          <w:sz w:val="24"/>
          <w:szCs w:val="24"/>
        </w:rPr>
        <w:t xml:space="preserve">, в денежном выражении – </w:t>
      </w:r>
      <w:r w:rsidR="00E47002" w:rsidRPr="00E47002">
        <w:rPr>
          <w:rFonts w:ascii="Times New Roman" w:hAnsi="Times New Roman" w:cs="Times New Roman"/>
          <w:sz w:val="24"/>
          <w:szCs w:val="24"/>
        </w:rPr>
        <w:t>6 564,3</w:t>
      </w:r>
      <w:r w:rsidRPr="00E47002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9833BF" w:rsidRPr="00E47002">
        <w:rPr>
          <w:rFonts w:ascii="Times New Roman" w:hAnsi="Times New Roman" w:cs="Times New Roman"/>
          <w:sz w:val="24"/>
          <w:szCs w:val="24"/>
        </w:rPr>
        <w:t xml:space="preserve"> </w:t>
      </w:r>
      <w:r w:rsidRPr="00E47002">
        <w:rPr>
          <w:rFonts w:ascii="Times New Roman" w:hAnsi="Times New Roman" w:cs="Times New Roman"/>
          <w:sz w:val="24"/>
          <w:szCs w:val="24"/>
        </w:rPr>
        <w:t xml:space="preserve">Объем привлеченных средств составил </w:t>
      </w:r>
      <w:r w:rsidR="00E47002" w:rsidRPr="00E47002">
        <w:rPr>
          <w:rFonts w:ascii="Times New Roman" w:hAnsi="Times New Roman" w:cs="Times New Roman"/>
          <w:sz w:val="24"/>
          <w:szCs w:val="24"/>
        </w:rPr>
        <w:t>547,2</w:t>
      </w:r>
      <w:r w:rsidRPr="00E47002">
        <w:rPr>
          <w:rFonts w:ascii="Times New Roman" w:hAnsi="Times New Roman" w:cs="Times New Roman"/>
          <w:sz w:val="24"/>
          <w:szCs w:val="24"/>
        </w:rPr>
        <w:t xml:space="preserve"> млн. рублей или </w:t>
      </w:r>
      <w:r w:rsidR="00E47002" w:rsidRPr="00E47002">
        <w:rPr>
          <w:rFonts w:ascii="Times New Roman" w:hAnsi="Times New Roman" w:cs="Times New Roman"/>
          <w:sz w:val="24"/>
          <w:szCs w:val="24"/>
        </w:rPr>
        <w:t>7,7</w:t>
      </w:r>
      <w:r w:rsidRPr="00E47002">
        <w:rPr>
          <w:rFonts w:ascii="Times New Roman" w:hAnsi="Times New Roman" w:cs="Times New Roman"/>
          <w:sz w:val="24"/>
          <w:szCs w:val="24"/>
        </w:rPr>
        <w:t xml:space="preserve">% соответственно. Доля бюджетных средств, в общем объеме привлеченных, составила </w:t>
      </w:r>
      <w:r w:rsidR="00E47002" w:rsidRPr="00E47002">
        <w:rPr>
          <w:rFonts w:ascii="Times New Roman" w:hAnsi="Times New Roman" w:cs="Times New Roman"/>
          <w:sz w:val="24"/>
          <w:szCs w:val="24"/>
        </w:rPr>
        <w:t>53,5</w:t>
      </w:r>
      <w:r w:rsidRPr="00E47002">
        <w:rPr>
          <w:rFonts w:ascii="Times New Roman" w:hAnsi="Times New Roman" w:cs="Times New Roman"/>
          <w:sz w:val="24"/>
          <w:szCs w:val="24"/>
        </w:rPr>
        <w:t xml:space="preserve">%, это </w:t>
      </w:r>
      <w:r w:rsidR="00E47002" w:rsidRPr="00E47002">
        <w:rPr>
          <w:rFonts w:ascii="Times New Roman" w:hAnsi="Times New Roman" w:cs="Times New Roman"/>
          <w:sz w:val="24"/>
          <w:szCs w:val="24"/>
        </w:rPr>
        <w:t>292,7</w:t>
      </w:r>
      <w:r w:rsidRPr="00E47002">
        <w:rPr>
          <w:rFonts w:ascii="Times New Roman" w:hAnsi="Times New Roman" w:cs="Times New Roman"/>
          <w:sz w:val="24"/>
          <w:szCs w:val="24"/>
        </w:rPr>
        <w:t xml:space="preserve"> млн. рублей. Основные направления вложения инвестиций – машины и оборудование, сооружения, здания (кроме жилых).</w:t>
      </w:r>
    </w:p>
    <w:p w:rsidR="001B7554" w:rsidRPr="00E47002" w:rsidRDefault="001B7554" w:rsidP="001B755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Прогноз и оценка объема инвестиций основан на стоимостном выражении показателя исходя из информации о планируемых объемах частных и бюджетных инвестиций. В основу частных инвестиций легла информация о реализации крупных инвестиционных проектов на территории Саткинского муниципального района, таких как:</w:t>
      </w:r>
    </w:p>
    <w:p w:rsidR="001B7554" w:rsidRPr="00E47002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1. Инвестиционные проекты ПАО «Комбинат «Магнезит»:</w:t>
      </w:r>
    </w:p>
    <w:p w:rsidR="001B7554" w:rsidRPr="00864FD1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033D">
        <w:rPr>
          <w:rFonts w:ascii="Times New Roman" w:hAnsi="Times New Roman" w:cs="Times New Roman"/>
          <w:sz w:val="24"/>
          <w:szCs w:val="24"/>
        </w:rPr>
        <w:t>- Увеличение объемов добычи сырого магнезита шахты «Магнезитовая» (2010-2024 гг.). Общая стоимость проекта составила 8 000,0 млн. рублей, из которых 4</w:t>
      </w:r>
      <w:r w:rsidR="004D5856">
        <w:rPr>
          <w:rFonts w:ascii="Times New Roman" w:hAnsi="Times New Roman" w:cs="Times New Roman"/>
          <w:sz w:val="24"/>
          <w:szCs w:val="24"/>
        </w:rPr>
        <w:t> 905,54</w:t>
      </w:r>
      <w:r w:rsidRPr="00CC033D">
        <w:rPr>
          <w:rFonts w:ascii="Times New Roman" w:hAnsi="Times New Roman" w:cs="Times New Roman"/>
          <w:sz w:val="24"/>
          <w:szCs w:val="24"/>
        </w:rPr>
        <w:t xml:space="preserve"> млн. рублей запланировано на 202</w:t>
      </w:r>
      <w:r w:rsidR="00CC033D" w:rsidRPr="00CC033D">
        <w:rPr>
          <w:rFonts w:ascii="Times New Roman" w:hAnsi="Times New Roman" w:cs="Times New Roman"/>
          <w:sz w:val="24"/>
          <w:szCs w:val="24"/>
        </w:rPr>
        <w:t>1</w:t>
      </w:r>
      <w:r w:rsidRPr="00CC033D">
        <w:rPr>
          <w:rFonts w:ascii="Times New Roman" w:hAnsi="Times New Roman" w:cs="Times New Roman"/>
          <w:sz w:val="24"/>
          <w:szCs w:val="24"/>
        </w:rPr>
        <w:t>-2024 годы.</w:t>
      </w:r>
    </w:p>
    <w:p w:rsidR="001B7554" w:rsidRPr="00CC033D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33D">
        <w:rPr>
          <w:rFonts w:ascii="Times New Roman" w:hAnsi="Times New Roman" w:cs="Times New Roman"/>
          <w:sz w:val="24"/>
          <w:szCs w:val="24"/>
        </w:rPr>
        <w:t>2. Инвестиционные проекты ООО «Группа «Магнезит»:</w:t>
      </w:r>
    </w:p>
    <w:p w:rsidR="001B7554" w:rsidRPr="00864FD1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033D">
        <w:rPr>
          <w:rFonts w:ascii="Times New Roman" w:hAnsi="Times New Roman" w:cs="Times New Roman"/>
          <w:sz w:val="24"/>
          <w:szCs w:val="24"/>
        </w:rPr>
        <w:t>- Строительство цеха по обжигу огнеупорных материалов в электропечах мощностью 50 тыс. тонн в год (ЦМП-5) (2012-202</w:t>
      </w:r>
      <w:r w:rsidR="00CC033D" w:rsidRPr="00CC033D">
        <w:rPr>
          <w:rFonts w:ascii="Times New Roman" w:hAnsi="Times New Roman" w:cs="Times New Roman"/>
          <w:sz w:val="24"/>
          <w:szCs w:val="24"/>
        </w:rPr>
        <w:t>1</w:t>
      </w:r>
      <w:r w:rsidRPr="00CC033D">
        <w:rPr>
          <w:rFonts w:ascii="Times New Roman" w:hAnsi="Times New Roman" w:cs="Times New Roman"/>
          <w:sz w:val="24"/>
          <w:szCs w:val="24"/>
        </w:rPr>
        <w:t xml:space="preserve"> гг.). </w:t>
      </w:r>
      <w:r w:rsidRPr="004D5856">
        <w:rPr>
          <w:rFonts w:ascii="Times New Roman" w:hAnsi="Times New Roman" w:cs="Times New Roman"/>
          <w:sz w:val="24"/>
          <w:szCs w:val="24"/>
        </w:rPr>
        <w:t xml:space="preserve">Сметная стоимость проекта составила 9 030,27 </w:t>
      </w:r>
      <w:r w:rsidR="00CC033D" w:rsidRPr="004D5856">
        <w:rPr>
          <w:rFonts w:ascii="Times New Roman" w:hAnsi="Times New Roman" w:cs="Times New Roman"/>
          <w:sz w:val="24"/>
          <w:szCs w:val="24"/>
        </w:rPr>
        <w:t>млн. рублей.</w:t>
      </w:r>
      <w:r w:rsidRPr="004D5856">
        <w:rPr>
          <w:rFonts w:ascii="Times New Roman" w:hAnsi="Times New Roman" w:cs="Times New Roman"/>
          <w:sz w:val="24"/>
          <w:szCs w:val="24"/>
        </w:rPr>
        <w:t xml:space="preserve"> </w:t>
      </w:r>
      <w:r w:rsidR="00213945">
        <w:rPr>
          <w:rFonts w:ascii="Times New Roman" w:hAnsi="Times New Roman" w:cs="Times New Roman"/>
          <w:sz w:val="24"/>
          <w:szCs w:val="24"/>
        </w:rPr>
        <w:t xml:space="preserve">Планируемый срок ввода объекта – 2021 год. При этом сумма </w:t>
      </w:r>
      <w:r w:rsidRPr="00CC033D">
        <w:rPr>
          <w:rFonts w:ascii="Times New Roman" w:hAnsi="Times New Roman" w:cs="Times New Roman"/>
          <w:sz w:val="24"/>
          <w:szCs w:val="24"/>
        </w:rPr>
        <w:t>инвестиционны</w:t>
      </w:r>
      <w:r w:rsidR="00213945">
        <w:rPr>
          <w:rFonts w:ascii="Times New Roman" w:hAnsi="Times New Roman" w:cs="Times New Roman"/>
          <w:sz w:val="24"/>
          <w:szCs w:val="24"/>
        </w:rPr>
        <w:t>х</w:t>
      </w:r>
      <w:r w:rsidRPr="00CC033D">
        <w:rPr>
          <w:rFonts w:ascii="Times New Roman" w:hAnsi="Times New Roman" w:cs="Times New Roman"/>
          <w:sz w:val="24"/>
          <w:szCs w:val="24"/>
        </w:rPr>
        <w:t xml:space="preserve"> </w:t>
      </w:r>
      <w:r w:rsidR="00213945">
        <w:rPr>
          <w:rFonts w:ascii="Times New Roman" w:hAnsi="Times New Roman" w:cs="Times New Roman"/>
          <w:sz w:val="24"/>
          <w:szCs w:val="24"/>
        </w:rPr>
        <w:t xml:space="preserve">вложений в </w:t>
      </w:r>
      <w:r w:rsidRPr="00CC033D">
        <w:rPr>
          <w:rFonts w:ascii="Times New Roman" w:hAnsi="Times New Roman" w:cs="Times New Roman"/>
          <w:sz w:val="24"/>
          <w:szCs w:val="24"/>
        </w:rPr>
        <w:t xml:space="preserve">проект планируется в размере </w:t>
      </w:r>
      <w:r w:rsidR="00213945">
        <w:rPr>
          <w:rFonts w:ascii="Times New Roman" w:hAnsi="Times New Roman" w:cs="Times New Roman"/>
          <w:sz w:val="24"/>
          <w:szCs w:val="24"/>
        </w:rPr>
        <w:t>2387,5</w:t>
      </w:r>
      <w:r w:rsidRPr="00CC033D">
        <w:rPr>
          <w:rFonts w:ascii="Times New Roman" w:hAnsi="Times New Roman" w:cs="Times New Roman"/>
          <w:sz w:val="24"/>
          <w:szCs w:val="24"/>
        </w:rPr>
        <w:t xml:space="preserve"> млн. рубле</w:t>
      </w:r>
      <w:r w:rsidR="00CC033D">
        <w:rPr>
          <w:rFonts w:ascii="Times New Roman" w:hAnsi="Times New Roman" w:cs="Times New Roman"/>
          <w:sz w:val="24"/>
          <w:szCs w:val="24"/>
        </w:rPr>
        <w:t xml:space="preserve">й </w:t>
      </w:r>
      <w:r w:rsidR="00213945">
        <w:rPr>
          <w:rFonts w:ascii="Times New Roman" w:hAnsi="Times New Roman" w:cs="Times New Roman"/>
          <w:sz w:val="24"/>
          <w:szCs w:val="24"/>
        </w:rPr>
        <w:t xml:space="preserve">до </w:t>
      </w:r>
      <w:r w:rsidR="00CC033D">
        <w:rPr>
          <w:rFonts w:ascii="Times New Roman" w:hAnsi="Times New Roman" w:cs="Times New Roman"/>
          <w:sz w:val="24"/>
          <w:szCs w:val="24"/>
        </w:rPr>
        <w:t>202</w:t>
      </w:r>
      <w:r w:rsidR="00213945">
        <w:rPr>
          <w:rFonts w:ascii="Times New Roman" w:hAnsi="Times New Roman" w:cs="Times New Roman"/>
          <w:sz w:val="24"/>
          <w:szCs w:val="24"/>
        </w:rPr>
        <w:t>5</w:t>
      </w:r>
      <w:r w:rsidR="00CC033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C033D">
        <w:rPr>
          <w:rFonts w:ascii="Times New Roman" w:hAnsi="Times New Roman" w:cs="Times New Roman"/>
          <w:sz w:val="24"/>
          <w:szCs w:val="24"/>
        </w:rPr>
        <w:t>;</w:t>
      </w:r>
    </w:p>
    <w:p w:rsidR="001B7554" w:rsidRPr="00CC033D" w:rsidRDefault="001B7554" w:rsidP="002412CF">
      <w:pPr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33D">
        <w:rPr>
          <w:rFonts w:ascii="Times New Roman" w:hAnsi="Times New Roman" w:cs="Times New Roman"/>
          <w:sz w:val="24"/>
          <w:szCs w:val="24"/>
        </w:rPr>
        <w:t xml:space="preserve">- Строительство </w:t>
      </w:r>
      <w:proofErr w:type="spellStart"/>
      <w:r w:rsidRPr="00CC033D">
        <w:rPr>
          <w:rFonts w:ascii="Times New Roman" w:hAnsi="Times New Roman" w:cs="Times New Roman"/>
          <w:sz w:val="24"/>
          <w:szCs w:val="24"/>
        </w:rPr>
        <w:t>многоподовой</w:t>
      </w:r>
      <w:proofErr w:type="spellEnd"/>
      <w:r w:rsidRPr="00CC033D">
        <w:rPr>
          <w:rFonts w:ascii="Times New Roman" w:hAnsi="Times New Roman" w:cs="Times New Roman"/>
          <w:sz w:val="24"/>
          <w:szCs w:val="24"/>
        </w:rPr>
        <w:t xml:space="preserve"> печи № 2 (МПП-2) (2017-2021 </w:t>
      </w:r>
      <w:proofErr w:type="spellStart"/>
      <w:r w:rsidRPr="00CC033D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CC033D">
        <w:rPr>
          <w:rFonts w:ascii="Times New Roman" w:hAnsi="Times New Roman" w:cs="Times New Roman"/>
          <w:sz w:val="24"/>
          <w:szCs w:val="24"/>
        </w:rPr>
        <w:t>). Сметная стоимость проекта – 2</w:t>
      </w:r>
      <w:r w:rsidR="00213945">
        <w:rPr>
          <w:rFonts w:ascii="Times New Roman" w:hAnsi="Times New Roman" w:cs="Times New Roman"/>
          <w:sz w:val="24"/>
          <w:szCs w:val="24"/>
        </w:rPr>
        <w:t>808,97</w:t>
      </w:r>
      <w:r w:rsidRPr="00CC033D">
        <w:rPr>
          <w:rFonts w:ascii="Times New Roman" w:hAnsi="Times New Roman" w:cs="Times New Roman"/>
          <w:sz w:val="24"/>
          <w:szCs w:val="24"/>
        </w:rPr>
        <w:t xml:space="preserve"> млн. рублей, из которых </w:t>
      </w:r>
      <w:r w:rsidR="00213945">
        <w:rPr>
          <w:rFonts w:ascii="Times New Roman" w:hAnsi="Times New Roman" w:cs="Times New Roman"/>
          <w:sz w:val="24"/>
          <w:szCs w:val="24"/>
        </w:rPr>
        <w:t>759,39</w:t>
      </w:r>
      <w:r w:rsidRPr="00CC033D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CC033D" w:rsidRPr="00CC033D">
        <w:rPr>
          <w:rFonts w:ascii="Times New Roman" w:hAnsi="Times New Roman" w:cs="Times New Roman"/>
          <w:sz w:val="24"/>
          <w:szCs w:val="24"/>
        </w:rPr>
        <w:t xml:space="preserve">запланировано на </w:t>
      </w:r>
      <w:r w:rsidRPr="00CC033D">
        <w:rPr>
          <w:rFonts w:ascii="Times New Roman" w:hAnsi="Times New Roman" w:cs="Times New Roman"/>
          <w:sz w:val="24"/>
          <w:szCs w:val="24"/>
        </w:rPr>
        <w:t xml:space="preserve">2021 год. </w:t>
      </w:r>
      <w:r w:rsidR="00616FCB">
        <w:rPr>
          <w:rFonts w:ascii="Times New Roman" w:hAnsi="Times New Roman" w:cs="Times New Roman"/>
          <w:sz w:val="24"/>
          <w:szCs w:val="24"/>
        </w:rPr>
        <w:t>В</w:t>
      </w:r>
      <w:r w:rsidR="00616FCB" w:rsidRPr="00213945">
        <w:rPr>
          <w:rFonts w:ascii="Times New Roman" w:hAnsi="Times New Roman" w:cs="Times New Roman"/>
          <w:sz w:val="24"/>
          <w:szCs w:val="24"/>
        </w:rPr>
        <w:t xml:space="preserve"> 2021 год</w:t>
      </w:r>
      <w:r w:rsidR="00616FCB">
        <w:rPr>
          <w:rFonts w:ascii="Times New Roman" w:hAnsi="Times New Roman" w:cs="Times New Roman"/>
          <w:sz w:val="24"/>
          <w:szCs w:val="24"/>
        </w:rPr>
        <w:t>у</w:t>
      </w:r>
      <w:r w:rsidR="00616FCB" w:rsidRPr="00213945">
        <w:rPr>
          <w:rFonts w:ascii="Times New Roman" w:hAnsi="Times New Roman" w:cs="Times New Roman"/>
          <w:sz w:val="24"/>
          <w:szCs w:val="24"/>
        </w:rPr>
        <w:t xml:space="preserve"> данный проект планируется завершить</w:t>
      </w:r>
      <w:r w:rsidRPr="00CC033D">
        <w:rPr>
          <w:rFonts w:ascii="Times New Roman" w:hAnsi="Times New Roman" w:cs="Times New Roman"/>
          <w:sz w:val="24"/>
          <w:szCs w:val="24"/>
        </w:rPr>
        <w:t>;</w:t>
      </w:r>
    </w:p>
    <w:p w:rsidR="001B7554" w:rsidRPr="00213945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3945">
        <w:rPr>
          <w:rFonts w:ascii="Times New Roman" w:hAnsi="Times New Roman" w:cs="Times New Roman"/>
          <w:sz w:val="24"/>
          <w:szCs w:val="24"/>
        </w:rPr>
        <w:t>- Увеличение объемов добычи сырого магнезита м/р Ельничное до 300 тыс. тонн в год (2018-202</w:t>
      </w:r>
      <w:r w:rsidR="00213945">
        <w:rPr>
          <w:rFonts w:ascii="Times New Roman" w:hAnsi="Times New Roman" w:cs="Times New Roman"/>
          <w:sz w:val="24"/>
          <w:szCs w:val="24"/>
        </w:rPr>
        <w:t>1</w:t>
      </w:r>
      <w:r w:rsidRPr="00213945">
        <w:rPr>
          <w:rFonts w:ascii="Times New Roman" w:hAnsi="Times New Roman" w:cs="Times New Roman"/>
          <w:sz w:val="24"/>
          <w:szCs w:val="24"/>
        </w:rPr>
        <w:t xml:space="preserve"> гг.). Сметная стоимость была скорректирована, после чего составила – </w:t>
      </w:r>
      <w:r w:rsidR="00213945" w:rsidRPr="00213945">
        <w:rPr>
          <w:rFonts w:ascii="Times New Roman" w:hAnsi="Times New Roman" w:cs="Times New Roman"/>
          <w:sz w:val="24"/>
          <w:szCs w:val="24"/>
        </w:rPr>
        <w:t>301,8</w:t>
      </w:r>
      <w:r w:rsidRPr="00213945">
        <w:rPr>
          <w:rFonts w:ascii="Times New Roman" w:hAnsi="Times New Roman" w:cs="Times New Roman"/>
          <w:sz w:val="24"/>
          <w:szCs w:val="24"/>
        </w:rPr>
        <w:t xml:space="preserve"> млн. рублей, </w:t>
      </w:r>
      <w:r w:rsidR="00213945" w:rsidRPr="00213945">
        <w:rPr>
          <w:rFonts w:ascii="Times New Roman" w:hAnsi="Times New Roman" w:cs="Times New Roman"/>
          <w:sz w:val="24"/>
          <w:szCs w:val="24"/>
        </w:rPr>
        <w:t>из которых 15,0 млн</w:t>
      </w:r>
      <w:r w:rsidR="00213945" w:rsidRPr="00CC033D">
        <w:rPr>
          <w:rFonts w:ascii="Times New Roman" w:hAnsi="Times New Roman" w:cs="Times New Roman"/>
          <w:sz w:val="24"/>
          <w:szCs w:val="24"/>
        </w:rPr>
        <w:t>. рублей запланировано на 2021 год</w:t>
      </w:r>
      <w:r w:rsidR="0021394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213945" w:rsidRPr="00213945">
        <w:rPr>
          <w:rFonts w:ascii="Times New Roman" w:hAnsi="Times New Roman" w:cs="Times New Roman"/>
          <w:sz w:val="24"/>
          <w:szCs w:val="24"/>
        </w:rPr>
        <w:t>До конца 2021</w:t>
      </w:r>
      <w:r w:rsidRPr="00213945">
        <w:rPr>
          <w:rFonts w:ascii="Times New Roman" w:hAnsi="Times New Roman" w:cs="Times New Roman"/>
          <w:sz w:val="24"/>
          <w:szCs w:val="24"/>
        </w:rPr>
        <w:t xml:space="preserve"> года данный проект </w:t>
      </w:r>
      <w:r w:rsidR="00213945" w:rsidRPr="00213945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Pr="00213945">
        <w:rPr>
          <w:rFonts w:ascii="Times New Roman" w:hAnsi="Times New Roman" w:cs="Times New Roman"/>
          <w:sz w:val="24"/>
          <w:szCs w:val="24"/>
        </w:rPr>
        <w:t>заверш</w:t>
      </w:r>
      <w:r w:rsidR="00213945" w:rsidRPr="00213945">
        <w:rPr>
          <w:rFonts w:ascii="Times New Roman" w:hAnsi="Times New Roman" w:cs="Times New Roman"/>
          <w:sz w:val="24"/>
          <w:szCs w:val="24"/>
        </w:rPr>
        <w:t>ить</w:t>
      </w:r>
      <w:r w:rsidRPr="00213945">
        <w:rPr>
          <w:rFonts w:ascii="Times New Roman" w:hAnsi="Times New Roman" w:cs="Times New Roman"/>
          <w:sz w:val="24"/>
          <w:szCs w:val="24"/>
        </w:rPr>
        <w:t>.</w:t>
      </w:r>
    </w:p>
    <w:p w:rsidR="001B7554" w:rsidRPr="00213945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3945">
        <w:rPr>
          <w:rFonts w:ascii="Times New Roman" w:hAnsi="Times New Roman" w:cs="Times New Roman"/>
          <w:sz w:val="24"/>
          <w:szCs w:val="24"/>
        </w:rPr>
        <w:t>3. Инвестиционные проекты АО «СЧПЗ»:</w:t>
      </w:r>
    </w:p>
    <w:p w:rsidR="001B7554" w:rsidRPr="000477A9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7A9">
        <w:rPr>
          <w:rFonts w:ascii="Times New Roman" w:hAnsi="Times New Roman" w:cs="Times New Roman"/>
          <w:sz w:val="24"/>
          <w:szCs w:val="24"/>
        </w:rPr>
        <w:lastRenderedPageBreak/>
        <w:t xml:space="preserve">- Реконструкция ТЭЦ АО «СЧПЗ» (2016-2020 </w:t>
      </w:r>
      <w:proofErr w:type="spellStart"/>
      <w:r w:rsidRPr="000477A9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0477A9">
        <w:rPr>
          <w:rFonts w:ascii="Times New Roman" w:hAnsi="Times New Roman" w:cs="Times New Roman"/>
          <w:sz w:val="24"/>
          <w:szCs w:val="24"/>
        </w:rPr>
        <w:t xml:space="preserve">). </w:t>
      </w:r>
      <w:r w:rsidR="000477A9" w:rsidRPr="000477A9">
        <w:rPr>
          <w:rFonts w:ascii="Times New Roman" w:hAnsi="Times New Roman" w:cs="Times New Roman"/>
          <w:sz w:val="24"/>
          <w:szCs w:val="24"/>
        </w:rPr>
        <w:t xml:space="preserve">В 2020 году завершена реализационная стадия инвестиционного проекта по техническому перевооружению ТЭЦ, целью которого является выработка электроэнергии до 12 МВт. Общий объем инвестиций составил </w:t>
      </w:r>
      <w:r w:rsidRPr="000477A9">
        <w:rPr>
          <w:rFonts w:ascii="Times New Roman" w:hAnsi="Times New Roman" w:cs="Times New Roman"/>
          <w:sz w:val="24"/>
          <w:szCs w:val="24"/>
        </w:rPr>
        <w:t>1</w:t>
      </w:r>
      <w:r w:rsidR="000477A9" w:rsidRPr="000477A9">
        <w:rPr>
          <w:rFonts w:ascii="Times New Roman" w:hAnsi="Times New Roman" w:cs="Times New Roman"/>
          <w:sz w:val="24"/>
          <w:szCs w:val="24"/>
        </w:rPr>
        <w:t> 150,0</w:t>
      </w:r>
      <w:r w:rsidRPr="000477A9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0477A9" w:rsidRPr="000477A9">
        <w:rPr>
          <w:rFonts w:ascii="Times New Roman" w:hAnsi="Times New Roman" w:cs="Times New Roman"/>
          <w:sz w:val="24"/>
          <w:szCs w:val="24"/>
        </w:rPr>
        <w:t xml:space="preserve">лей. </w:t>
      </w:r>
    </w:p>
    <w:p w:rsidR="001B7554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3945">
        <w:rPr>
          <w:rFonts w:ascii="Times New Roman" w:hAnsi="Times New Roman" w:cs="Times New Roman"/>
          <w:sz w:val="24"/>
          <w:szCs w:val="24"/>
        </w:rPr>
        <w:t xml:space="preserve">- Строительство цеха по производству низко- и среднеуглеродистого ферромарганца конверторным способом (2020-2024). Сметная </w:t>
      </w:r>
      <w:r w:rsidRPr="000477A9">
        <w:rPr>
          <w:rFonts w:ascii="Times New Roman" w:hAnsi="Times New Roman" w:cs="Times New Roman"/>
          <w:sz w:val="24"/>
          <w:szCs w:val="24"/>
        </w:rPr>
        <w:t xml:space="preserve">стоимость – 3 000,0 млн. рублей, проект находится в </w:t>
      </w:r>
      <w:proofErr w:type="spellStart"/>
      <w:r w:rsidRPr="000477A9">
        <w:rPr>
          <w:rFonts w:ascii="Times New Roman" w:hAnsi="Times New Roman" w:cs="Times New Roman"/>
          <w:sz w:val="24"/>
          <w:szCs w:val="24"/>
        </w:rPr>
        <w:t>прединвестиционной</w:t>
      </w:r>
      <w:proofErr w:type="spellEnd"/>
      <w:r w:rsidRPr="000477A9">
        <w:rPr>
          <w:rFonts w:ascii="Times New Roman" w:hAnsi="Times New Roman" w:cs="Times New Roman"/>
          <w:sz w:val="24"/>
          <w:szCs w:val="24"/>
        </w:rPr>
        <w:t xml:space="preserve"> фазе.</w:t>
      </w:r>
    </w:p>
    <w:p w:rsidR="001B7554" w:rsidRPr="0089745E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45E">
        <w:rPr>
          <w:rFonts w:ascii="Times New Roman" w:hAnsi="Times New Roman" w:cs="Times New Roman"/>
          <w:sz w:val="24"/>
          <w:szCs w:val="24"/>
        </w:rPr>
        <w:t>4. Инвестиционные проекты резидентов ТОСЭР «Бакал»:</w:t>
      </w:r>
    </w:p>
    <w:p w:rsidR="00E809DA" w:rsidRDefault="0089745E" w:rsidP="00E809DA">
      <w:pPr>
        <w:pStyle w:val="a7"/>
        <w:numPr>
          <w:ilvl w:val="0"/>
          <w:numId w:val="38"/>
        </w:numPr>
        <w:spacing w:after="0" w:line="360" w:lineRule="auto"/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E809D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E809DA">
        <w:rPr>
          <w:rFonts w:ascii="Times New Roman" w:hAnsi="Times New Roman" w:cs="Times New Roman"/>
          <w:sz w:val="24"/>
          <w:szCs w:val="24"/>
        </w:rPr>
        <w:t>Легпром</w:t>
      </w:r>
      <w:proofErr w:type="spellEnd"/>
      <w:r w:rsidRPr="00E809DA">
        <w:rPr>
          <w:rFonts w:ascii="Times New Roman" w:hAnsi="Times New Roman" w:cs="Times New Roman"/>
          <w:sz w:val="24"/>
          <w:szCs w:val="24"/>
        </w:rPr>
        <w:t xml:space="preserve">» </w:t>
      </w:r>
      <w:r w:rsidR="00E809DA" w:rsidRPr="00E809DA">
        <w:rPr>
          <w:rFonts w:ascii="Times New Roman" w:hAnsi="Times New Roman" w:cs="Times New Roman"/>
          <w:sz w:val="24"/>
          <w:szCs w:val="24"/>
        </w:rPr>
        <w:t xml:space="preserve">- </w:t>
      </w:r>
      <w:r w:rsidR="001B7554" w:rsidRPr="00E809DA">
        <w:rPr>
          <w:rFonts w:ascii="Times New Roman" w:hAnsi="Times New Roman" w:cs="Times New Roman"/>
          <w:sz w:val="24"/>
          <w:szCs w:val="24"/>
        </w:rPr>
        <w:t>Организация швейного производства и изготовление пластиковых кейсов для нужд Минобороны РФ (2017-2021). Сметна</w:t>
      </w:r>
      <w:r w:rsidR="00A12F07">
        <w:rPr>
          <w:rFonts w:ascii="Times New Roman" w:hAnsi="Times New Roman" w:cs="Times New Roman"/>
          <w:sz w:val="24"/>
          <w:szCs w:val="24"/>
        </w:rPr>
        <w:t>я стоимость – 593,0 млн. рублей</w:t>
      </w:r>
      <w:r w:rsidR="00E809DA" w:rsidRPr="00E809DA">
        <w:rPr>
          <w:rFonts w:ascii="Times New Roman" w:hAnsi="Times New Roman" w:cs="Times New Roman"/>
          <w:sz w:val="24"/>
          <w:szCs w:val="24"/>
        </w:rPr>
        <w:t>;</w:t>
      </w:r>
    </w:p>
    <w:p w:rsidR="00E809DA" w:rsidRDefault="0089745E" w:rsidP="00E809DA">
      <w:pPr>
        <w:pStyle w:val="a7"/>
        <w:numPr>
          <w:ilvl w:val="0"/>
          <w:numId w:val="38"/>
        </w:numPr>
        <w:spacing w:after="0" w:line="360" w:lineRule="auto"/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E809DA">
        <w:rPr>
          <w:rFonts w:ascii="Times New Roman" w:hAnsi="Times New Roman" w:cs="Times New Roman"/>
          <w:sz w:val="24"/>
          <w:szCs w:val="24"/>
        </w:rPr>
        <w:t xml:space="preserve">ООО «Абсолют </w:t>
      </w:r>
      <w:proofErr w:type="spellStart"/>
      <w:r w:rsidRPr="00E809DA">
        <w:rPr>
          <w:rFonts w:ascii="Times New Roman" w:hAnsi="Times New Roman" w:cs="Times New Roman"/>
          <w:sz w:val="24"/>
          <w:szCs w:val="24"/>
        </w:rPr>
        <w:t>дробсервис</w:t>
      </w:r>
      <w:proofErr w:type="spellEnd"/>
      <w:r w:rsidRPr="00E809DA">
        <w:rPr>
          <w:rFonts w:ascii="Times New Roman" w:hAnsi="Times New Roman" w:cs="Times New Roman"/>
          <w:sz w:val="24"/>
          <w:szCs w:val="24"/>
        </w:rPr>
        <w:t xml:space="preserve">» Освоение месторождений кварцитов </w:t>
      </w:r>
      <w:proofErr w:type="spellStart"/>
      <w:r w:rsidRPr="00E809DA">
        <w:rPr>
          <w:rFonts w:ascii="Times New Roman" w:hAnsi="Times New Roman" w:cs="Times New Roman"/>
          <w:sz w:val="24"/>
          <w:szCs w:val="24"/>
        </w:rPr>
        <w:t>Бакальской</w:t>
      </w:r>
      <w:proofErr w:type="spellEnd"/>
      <w:r w:rsidRPr="00E809DA">
        <w:rPr>
          <w:rFonts w:ascii="Times New Roman" w:hAnsi="Times New Roman" w:cs="Times New Roman"/>
          <w:sz w:val="24"/>
          <w:szCs w:val="24"/>
        </w:rPr>
        <w:t xml:space="preserve"> </w:t>
      </w:r>
      <w:r w:rsidR="00E809DA" w:rsidRPr="00E809DA">
        <w:rPr>
          <w:rFonts w:ascii="Times New Roman" w:hAnsi="Times New Roman" w:cs="Times New Roman"/>
          <w:sz w:val="24"/>
          <w:szCs w:val="24"/>
        </w:rPr>
        <w:t xml:space="preserve">группы. Сметная </w:t>
      </w:r>
      <w:r w:rsidR="00A12F07">
        <w:rPr>
          <w:rFonts w:ascii="Times New Roman" w:hAnsi="Times New Roman" w:cs="Times New Roman"/>
          <w:sz w:val="24"/>
          <w:szCs w:val="24"/>
        </w:rPr>
        <w:t>стоимость – 153,69 млн. рублей</w:t>
      </w:r>
      <w:r w:rsidR="00E809DA" w:rsidRPr="00E809DA">
        <w:rPr>
          <w:rFonts w:ascii="Times New Roman" w:hAnsi="Times New Roman" w:cs="Times New Roman"/>
          <w:sz w:val="24"/>
          <w:szCs w:val="24"/>
        </w:rPr>
        <w:t>;</w:t>
      </w:r>
    </w:p>
    <w:p w:rsidR="00927285" w:rsidRDefault="00E809DA" w:rsidP="00E809DA">
      <w:pPr>
        <w:pStyle w:val="a7"/>
        <w:numPr>
          <w:ilvl w:val="0"/>
          <w:numId w:val="38"/>
        </w:numPr>
        <w:spacing w:after="0" w:line="360" w:lineRule="auto"/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E809DA">
        <w:rPr>
          <w:rFonts w:ascii="Times New Roman" w:hAnsi="Times New Roman" w:cs="Times New Roman"/>
          <w:sz w:val="24"/>
          <w:szCs w:val="24"/>
        </w:rPr>
        <w:t>ООО «Вершина» - Создание металлургического завода по производству гранулированного чугуна». Сметная ст</w:t>
      </w:r>
      <w:r w:rsidR="00A12F07">
        <w:rPr>
          <w:rFonts w:ascii="Times New Roman" w:hAnsi="Times New Roman" w:cs="Times New Roman"/>
          <w:sz w:val="24"/>
          <w:szCs w:val="24"/>
        </w:rPr>
        <w:t>оимость – 18 367,0 млн. рублей</w:t>
      </w:r>
      <w:r w:rsidRPr="00E809DA">
        <w:rPr>
          <w:rFonts w:ascii="Times New Roman" w:hAnsi="Times New Roman" w:cs="Times New Roman"/>
          <w:sz w:val="24"/>
          <w:szCs w:val="24"/>
        </w:rPr>
        <w:t>.</w:t>
      </w:r>
    </w:p>
    <w:p w:rsidR="00E809DA" w:rsidRDefault="00E809DA" w:rsidP="00E809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Инвестиционные проекты:</w:t>
      </w:r>
    </w:p>
    <w:p w:rsidR="00E809DA" w:rsidRDefault="00E809DA" w:rsidP="00E809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Физкультурно-оздоровительный комплекс с ледовым полем в г. Сатка Челябинской области (2020-2022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r>
        <w:rPr>
          <w:rFonts w:ascii="Times New Roman" w:hAnsi="Times New Roman" w:cs="Times New Roman"/>
          <w:sz w:val="24"/>
          <w:szCs w:val="24"/>
        </w:rPr>
        <w:t>). Стоимость проекта – 322,4 млн. рублей;</w:t>
      </w:r>
    </w:p>
    <w:p w:rsidR="0089745E" w:rsidRDefault="00E809DA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9D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809DA">
        <w:rPr>
          <w:rFonts w:ascii="Times New Roman" w:hAnsi="Times New Roman" w:cs="Times New Roman"/>
          <w:sz w:val="24"/>
          <w:szCs w:val="24"/>
        </w:rPr>
        <w:t>Каргинский</w:t>
      </w:r>
      <w:proofErr w:type="spellEnd"/>
      <w:r w:rsidRPr="00E809DA">
        <w:rPr>
          <w:rFonts w:ascii="Times New Roman" w:hAnsi="Times New Roman" w:cs="Times New Roman"/>
          <w:sz w:val="24"/>
          <w:szCs w:val="24"/>
        </w:rPr>
        <w:t xml:space="preserve"> парк в г. Сатка Челябинской области (2018-2025 </w:t>
      </w:r>
      <w:proofErr w:type="spellStart"/>
      <w:r w:rsidRPr="00E809DA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E809DA">
        <w:rPr>
          <w:rFonts w:ascii="Times New Roman" w:hAnsi="Times New Roman" w:cs="Times New Roman"/>
          <w:sz w:val="24"/>
          <w:szCs w:val="24"/>
        </w:rPr>
        <w:t>). Стоимость проекта – 382,8 млн. рублей.</w:t>
      </w:r>
    </w:p>
    <w:p w:rsidR="00A12F07" w:rsidRPr="00E809DA" w:rsidRDefault="00A12F07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7554" w:rsidRPr="00864FD1" w:rsidRDefault="001B7554" w:rsidP="002412C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На основании анализа статистических данных на 01.07.202</w:t>
      </w:r>
      <w:r w:rsidR="00E47002" w:rsidRPr="00E47002">
        <w:rPr>
          <w:rFonts w:ascii="Times New Roman" w:hAnsi="Times New Roman" w:cs="Times New Roman"/>
          <w:sz w:val="24"/>
          <w:szCs w:val="24"/>
        </w:rPr>
        <w:t>1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года, а также, сведений, предоставленных организациями о ходе реализации инвестиционных проектов в текущем году, ожидаемый объем инвестиций в основной капитал крупных и средних организаций Саткинского муниципального района по итогам 202</w:t>
      </w:r>
      <w:r w:rsidR="00E47002" w:rsidRPr="00E47002">
        <w:rPr>
          <w:rFonts w:ascii="Times New Roman" w:hAnsi="Times New Roman" w:cs="Times New Roman"/>
          <w:sz w:val="24"/>
          <w:szCs w:val="24"/>
        </w:rPr>
        <w:t>1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927285" w:rsidRPr="00E47002">
        <w:rPr>
          <w:rFonts w:ascii="Times New Roman" w:hAnsi="Times New Roman" w:cs="Times New Roman"/>
          <w:sz w:val="24"/>
          <w:szCs w:val="24"/>
        </w:rPr>
        <w:t>оценивается</w:t>
      </w:r>
      <w:r w:rsidRPr="00E47002">
        <w:rPr>
          <w:rFonts w:ascii="Times New Roman" w:hAnsi="Times New Roman" w:cs="Times New Roman"/>
          <w:sz w:val="24"/>
          <w:szCs w:val="24"/>
        </w:rPr>
        <w:t xml:space="preserve"> в сумме 4</w:t>
      </w:r>
      <w:r w:rsidR="00E47002" w:rsidRPr="00E47002">
        <w:rPr>
          <w:rFonts w:ascii="Times New Roman" w:hAnsi="Times New Roman" w:cs="Times New Roman"/>
          <w:sz w:val="24"/>
          <w:szCs w:val="24"/>
        </w:rPr>
        <w:t> 402,0</w:t>
      </w:r>
      <w:r w:rsidRPr="00E47002">
        <w:rPr>
          <w:rFonts w:ascii="Times New Roman" w:hAnsi="Times New Roman" w:cs="Times New Roman"/>
          <w:sz w:val="24"/>
          <w:szCs w:val="24"/>
        </w:rPr>
        <w:t xml:space="preserve"> млн. рублей, составив </w:t>
      </w:r>
      <w:r w:rsidR="00E47002" w:rsidRPr="00E47002">
        <w:rPr>
          <w:rFonts w:ascii="Times New Roman" w:hAnsi="Times New Roman" w:cs="Times New Roman"/>
          <w:sz w:val="24"/>
          <w:szCs w:val="24"/>
        </w:rPr>
        <w:t>57,7</w:t>
      </w:r>
      <w:r w:rsidRPr="00E47002">
        <w:rPr>
          <w:rFonts w:ascii="Times New Roman" w:hAnsi="Times New Roman" w:cs="Times New Roman"/>
          <w:sz w:val="24"/>
          <w:szCs w:val="24"/>
        </w:rPr>
        <w:t xml:space="preserve">% </w:t>
      </w:r>
      <w:r w:rsidR="00E47002" w:rsidRPr="00E47002">
        <w:rPr>
          <w:rFonts w:ascii="Times New Roman" w:hAnsi="Times New Roman" w:cs="Times New Roman"/>
          <w:sz w:val="24"/>
          <w:szCs w:val="24"/>
        </w:rPr>
        <w:t xml:space="preserve">в сопоставимых ценах </w:t>
      </w:r>
      <w:r w:rsidRPr="00E47002">
        <w:rPr>
          <w:rFonts w:ascii="Times New Roman" w:hAnsi="Times New Roman" w:cs="Times New Roman"/>
          <w:sz w:val="24"/>
          <w:szCs w:val="24"/>
        </w:rPr>
        <w:t>к 20</w:t>
      </w:r>
      <w:r w:rsidR="00E47002" w:rsidRPr="00E47002">
        <w:rPr>
          <w:rFonts w:ascii="Times New Roman" w:hAnsi="Times New Roman" w:cs="Times New Roman"/>
          <w:sz w:val="24"/>
          <w:szCs w:val="24"/>
        </w:rPr>
        <w:t>20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году. </w:t>
      </w:r>
      <w:r w:rsidRPr="00505122">
        <w:rPr>
          <w:rFonts w:ascii="Times New Roman" w:hAnsi="Times New Roman" w:cs="Times New Roman"/>
          <w:sz w:val="24"/>
          <w:szCs w:val="24"/>
        </w:rPr>
        <w:t>Объем финансирования собственными и привлеченными средствами состави</w:t>
      </w:r>
      <w:r w:rsidR="00927285" w:rsidRPr="00505122">
        <w:rPr>
          <w:rFonts w:ascii="Times New Roman" w:hAnsi="Times New Roman" w:cs="Times New Roman"/>
          <w:sz w:val="24"/>
          <w:szCs w:val="24"/>
        </w:rPr>
        <w:t>т</w:t>
      </w:r>
      <w:r w:rsidRPr="00505122">
        <w:rPr>
          <w:rFonts w:ascii="Times New Roman" w:hAnsi="Times New Roman" w:cs="Times New Roman"/>
          <w:sz w:val="24"/>
          <w:szCs w:val="24"/>
        </w:rPr>
        <w:t xml:space="preserve"> 9</w:t>
      </w:r>
      <w:r w:rsidR="00505122" w:rsidRPr="00505122">
        <w:rPr>
          <w:rFonts w:ascii="Times New Roman" w:hAnsi="Times New Roman" w:cs="Times New Roman"/>
          <w:sz w:val="24"/>
          <w:szCs w:val="24"/>
        </w:rPr>
        <w:t>2,0</w:t>
      </w:r>
      <w:r w:rsidRPr="00505122">
        <w:rPr>
          <w:rFonts w:ascii="Times New Roman" w:hAnsi="Times New Roman" w:cs="Times New Roman"/>
          <w:sz w:val="24"/>
          <w:szCs w:val="24"/>
        </w:rPr>
        <w:t xml:space="preserve"> и 8,</w:t>
      </w:r>
      <w:r w:rsidR="00505122" w:rsidRPr="00505122">
        <w:rPr>
          <w:rFonts w:ascii="Times New Roman" w:hAnsi="Times New Roman" w:cs="Times New Roman"/>
          <w:sz w:val="24"/>
          <w:szCs w:val="24"/>
        </w:rPr>
        <w:t>0</w:t>
      </w:r>
      <w:r w:rsidRPr="00505122">
        <w:rPr>
          <w:rFonts w:ascii="Times New Roman" w:hAnsi="Times New Roman" w:cs="Times New Roman"/>
          <w:sz w:val="24"/>
          <w:szCs w:val="24"/>
        </w:rPr>
        <w:t xml:space="preserve"> %, соответственно, в стоимостном выражении это 4</w:t>
      </w:r>
      <w:r w:rsidR="00505122" w:rsidRPr="00505122">
        <w:rPr>
          <w:rFonts w:ascii="Times New Roman" w:hAnsi="Times New Roman" w:cs="Times New Roman"/>
          <w:sz w:val="24"/>
          <w:szCs w:val="24"/>
        </w:rPr>
        <w:t> 049,8</w:t>
      </w:r>
      <w:r w:rsidRPr="00505122">
        <w:rPr>
          <w:rFonts w:ascii="Times New Roman" w:hAnsi="Times New Roman" w:cs="Times New Roman"/>
          <w:sz w:val="24"/>
          <w:szCs w:val="24"/>
        </w:rPr>
        <w:t xml:space="preserve"> и </w:t>
      </w:r>
      <w:r w:rsidR="00505122" w:rsidRPr="00505122">
        <w:rPr>
          <w:rFonts w:ascii="Times New Roman" w:hAnsi="Times New Roman" w:cs="Times New Roman"/>
          <w:sz w:val="24"/>
          <w:szCs w:val="24"/>
        </w:rPr>
        <w:t>352,2</w:t>
      </w:r>
      <w:r w:rsidRPr="00505122">
        <w:rPr>
          <w:rFonts w:ascii="Times New Roman" w:hAnsi="Times New Roman" w:cs="Times New Roman"/>
          <w:sz w:val="24"/>
          <w:szCs w:val="24"/>
        </w:rPr>
        <w:t xml:space="preserve"> млн. рублей. Доля бюджетных средств в общем объеме привлеченных </w:t>
      </w:r>
      <w:r w:rsidR="00505122" w:rsidRPr="00505122">
        <w:rPr>
          <w:rFonts w:ascii="Times New Roman" w:hAnsi="Times New Roman" w:cs="Times New Roman"/>
          <w:sz w:val="24"/>
          <w:szCs w:val="24"/>
        </w:rPr>
        <w:t>инвестиций оценивается 30,0 %.</w:t>
      </w:r>
    </w:p>
    <w:p w:rsidR="00CA4DC6" w:rsidRDefault="001B7554" w:rsidP="001B755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В 202</w:t>
      </w:r>
      <w:r w:rsidR="00E47002" w:rsidRPr="00E47002">
        <w:rPr>
          <w:rFonts w:ascii="Times New Roman" w:hAnsi="Times New Roman" w:cs="Times New Roman"/>
          <w:sz w:val="24"/>
          <w:szCs w:val="24"/>
        </w:rPr>
        <w:t>2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году ожидаемый объем инвестиций в основной капитал: в консервативном </w:t>
      </w:r>
      <w:r w:rsidRPr="00CA4DC6">
        <w:rPr>
          <w:rFonts w:ascii="Times New Roman" w:hAnsi="Times New Roman" w:cs="Times New Roman"/>
          <w:sz w:val="24"/>
          <w:szCs w:val="24"/>
        </w:rPr>
        <w:t>варианте –</w:t>
      </w:r>
      <w:r w:rsidR="00E47002" w:rsidRPr="00CA4DC6">
        <w:rPr>
          <w:rFonts w:ascii="Times New Roman" w:hAnsi="Times New Roman" w:cs="Times New Roman"/>
          <w:sz w:val="24"/>
          <w:szCs w:val="24"/>
        </w:rPr>
        <w:t xml:space="preserve"> 3317,4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что в </w:t>
      </w:r>
      <w:r w:rsidR="00E47002" w:rsidRPr="00CA4DC6">
        <w:rPr>
          <w:rFonts w:ascii="Times New Roman" w:hAnsi="Times New Roman" w:cs="Times New Roman"/>
          <w:sz w:val="24"/>
          <w:szCs w:val="24"/>
        </w:rPr>
        <w:t>сопоставимых</w:t>
      </w:r>
      <w:r w:rsidRPr="00CA4DC6">
        <w:rPr>
          <w:rFonts w:ascii="Times New Roman" w:hAnsi="Times New Roman" w:cs="Times New Roman"/>
          <w:sz w:val="24"/>
          <w:szCs w:val="24"/>
        </w:rPr>
        <w:t xml:space="preserve"> ценах составит </w:t>
      </w:r>
      <w:r w:rsidR="00E47002" w:rsidRPr="00CA4DC6">
        <w:rPr>
          <w:rFonts w:ascii="Times New Roman" w:hAnsi="Times New Roman" w:cs="Times New Roman"/>
          <w:sz w:val="24"/>
          <w:szCs w:val="24"/>
        </w:rPr>
        <w:t xml:space="preserve">71,5 </w:t>
      </w:r>
      <w:r w:rsidRPr="00CA4DC6">
        <w:rPr>
          <w:rFonts w:ascii="Times New Roman" w:hAnsi="Times New Roman" w:cs="Times New Roman"/>
          <w:sz w:val="24"/>
          <w:szCs w:val="24"/>
        </w:rPr>
        <w:t>% к 202</w:t>
      </w:r>
      <w:r w:rsidR="00E47002" w:rsidRPr="00CA4DC6">
        <w:rPr>
          <w:rFonts w:ascii="Times New Roman" w:hAnsi="Times New Roman" w:cs="Times New Roman"/>
          <w:sz w:val="24"/>
          <w:szCs w:val="24"/>
        </w:rPr>
        <w:t>1</w:t>
      </w:r>
      <w:r w:rsidRPr="00CA4DC6">
        <w:rPr>
          <w:rFonts w:ascii="Times New Roman" w:hAnsi="Times New Roman" w:cs="Times New Roman"/>
          <w:sz w:val="24"/>
          <w:szCs w:val="24"/>
        </w:rPr>
        <w:t xml:space="preserve"> году, в базовом варианте – 3</w:t>
      </w:r>
      <w:r w:rsidR="00E47002" w:rsidRPr="00CA4DC6">
        <w:rPr>
          <w:rFonts w:ascii="Times New Roman" w:hAnsi="Times New Roman" w:cs="Times New Roman"/>
          <w:sz w:val="24"/>
          <w:szCs w:val="24"/>
        </w:rPr>
        <w:t>824,1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в </w:t>
      </w:r>
      <w:r w:rsidR="00E47002" w:rsidRPr="00CA4DC6">
        <w:rPr>
          <w:rFonts w:ascii="Times New Roman" w:hAnsi="Times New Roman" w:cs="Times New Roman"/>
          <w:sz w:val="24"/>
          <w:szCs w:val="24"/>
        </w:rPr>
        <w:t>сопоставимых</w:t>
      </w:r>
      <w:r w:rsidRPr="00CA4DC6">
        <w:rPr>
          <w:rFonts w:ascii="Times New Roman" w:hAnsi="Times New Roman" w:cs="Times New Roman"/>
          <w:sz w:val="24"/>
          <w:szCs w:val="24"/>
        </w:rPr>
        <w:t xml:space="preserve"> ценах </w:t>
      </w:r>
      <w:r w:rsidR="00E47002" w:rsidRPr="00CA4DC6">
        <w:rPr>
          <w:rFonts w:ascii="Times New Roman" w:hAnsi="Times New Roman" w:cs="Times New Roman"/>
          <w:sz w:val="24"/>
          <w:szCs w:val="24"/>
        </w:rPr>
        <w:t>82,5</w:t>
      </w:r>
      <w:r w:rsidRPr="00CA4DC6">
        <w:rPr>
          <w:rFonts w:ascii="Times New Roman" w:hAnsi="Times New Roman" w:cs="Times New Roman"/>
          <w:sz w:val="24"/>
          <w:szCs w:val="24"/>
        </w:rPr>
        <w:t xml:space="preserve"> % к 202</w:t>
      </w:r>
      <w:r w:rsidR="00CA4DC6" w:rsidRPr="00CA4DC6">
        <w:rPr>
          <w:rFonts w:ascii="Times New Roman" w:hAnsi="Times New Roman" w:cs="Times New Roman"/>
          <w:sz w:val="24"/>
          <w:szCs w:val="24"/>
        </w:rPr>
        <w:t>1</w:t>
      </w:r>
      <w:r w:rsidR="00CA4DC6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CA4DC6" w:rsidRDefault="00CA4DC6" w:rsidP="00CA4DC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lastRenderedPageBreak/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году ожидаемый объем инвестиций в основной капитал: в консервативном </w:t>
      </w:r>
      <w:r w:rsidRPr="00CA4DC6">
        <w:rPr>
          <w:rFonts w:ascii="Times New Roman" w:hAnsi="Times New Roman" w:cs="Times New Roman"/>
          <w:sz w:val="24"/>
          <w:szCs w:val="24"/>
        </w:rPr>
        <w:t xml:space="preserve">варианте – </w:t>
      </w:r>
      <w:r>
        <w:rPr>
          <w:rFonts w:ascii="Times New Roman" w:hAnsi="Times New Roman" w:cs="Times New Roman"/>
          <w:sz w:val="24"/>
          <w:szCs w:val="24"/>
        </w:rPr>
        <w:t>3499,8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что в сопоставимых ценах составит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CA4DC6">
        <w:rPr>
          <w:rFonts w:ascii="Times New Roman" w:hAnsi="Times New Roman" w:cs="Times New Roman"/>
          <w:sz w:val="24"/>
          <w:szCs w:val="24"/>
        </w:rPr>
        <w:t xml:space="preserve"> % к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4DC6">
        <w:rPr>
          <w:rFonts w:ascii="Times New Roman" w:hAnsi="Times New Roman" w:cs="Times New Roman"/>
          <w:sz w:val="24"/>
          <w:szCs w:val="24"/>
        </w:rPr>
        <w:t xml:space="preserve"> году, в базовом варианте – </w:t>
      </w:r>
      <w:r>
        <w:rPr>
          <w:rFonts w:ascii="Times New Roman" w:hAnsi="Times New Roman" w:cs="Times New Roman"/>
          <w:sz w:val="24"/>
          <w:szCs w:val="24"/>
        </w:rPr>
        <w:t>4074,8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в сопоставимых ценах </w:t>
      </w:r>
      <w:r>
        <w:rPr>
          <w:rFonts w:ascii="Times New Roman" w:hAnsi="Times New Roman" w:cs="Times New Roman"/>
          <w:sz w:val="24"/>
          <w:szCs w:val="24"/>
        </w:rPr>
        <w:t xml:space="preserve">101,0 </w:t>
      </w:r>
      <w:r w:rsidRPr="00CA4DC6">
        <w:rPr>
          <w:rFonts w:ascii="Times New Roman" w:hAnsi="Times New Roman" w:cs="Times New Roman"/>
          <w:sz w:val="24"/>
          <w:szCs w:val="24"/>
        </w:rPr>
        <w:t>% к 202</w:t>
      </w:r>
      <w:r>
        <w:rPr>
          <w:rFonts w:ascii="Times New Roman" w:hAnsi="Times New Roman" w:cs="Times New Roman"/>
          <w:sz w:val="24"/>
          <w:szCs w:val="24"/>
        </w:rPr>
        <w:t>2 году.</w:t>
      </w:r>
    </w:p>
    <w:p w:rsidR="00CA4DC6" w:rsidRDefault="00CA4DC6" w:rsidP="00CA4DC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7002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47002">
        <w:rPr>
          <w:rFonts w:ascii="Times New Roman" w:hAnsi="Times New Roman" w:cs="Times New Roman"/>
          <w:sz w:val="24"/>
          <w:szCs w:val="24"/>
        </w:rPr>
        <w:t xml:space="preserve"> году ожидаемый объем инвестиций в основной капитал: в консервативном </w:t>
      </w:r>
      <w:r w:rsidRPr="00CA4DC6">
        <w:rPr>
          <w:rFonts w:ascii="Times New Roman" w:hAnsi="Times New Roman" w:cs="Times New Roman"/>
          <w:sz w:val="24"/>
          <w:szCs w:val="24"/>
        </w:rPr>
        <w:t>варианте – 3</w:t>
      </w:r>
      <w:r>
        <w:rPr>
          <w:rFonts w:ascii="Times New Roman" w:hAnsi="Times New Roman" w:cs="Times New Roman"/>
          <w:sz w:val="24"/>
          <w:szCs w:val="24"/>
        </w:rPr>
        <w:t>858,5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что в сопоставимых ценах составит </w:t>
      </w:r>
      <w:r>
        <w:rPr>
          <w:rFonts w:ascii="Times New Roman" w:hAnsi="Times New Roman" w:cs="Times New Roman"/>
          <w:sz w:val="24"/>
          <w:szCs w:val="24"/>
        </w:rPr>
        <w:t>104,5</w:t>
      </w:r>
      <w:r w:rsidRPr="00CA4DC6">
        <w:rPr>
          <w:rFonts w:ascii="Times New Roman" w:hAnsi="Times New Roman" w:cs="Times New Roman"/>
          <w:sz w:val="24"/>
          <w:szCs w:val="24"/>
        </w:rPr>
        <w:t xml:space="preserve"> % к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4DC6">
        <w:rPr>
          <w:rFonts w:ascii="Times New Roman" w:hAnsi="Times New Roman" w:cs="Times New Roman"/>
          <w:sz w:val="24"/>
          <w:szCs w:val="24"/>
        </w:rPr>
        <w:t xml:space="preserve"> году, в базовом варианте – </w:t>
      </w:r>
      <w:r>
        <w:rPr>
          <w:rFonts w:ascii="Times New Roman" w:hAnsi="Times New Roman" w:cs="Times New Roman"/>
          <w:sz w:val="24"/>
          <w:szCs w:val="24"/>
        </w:rPr>
        <w:t>4561,2</w:t>
      </w:r>
      <w:r w:rsidRPr="00CA4DC6">
        <w:rPr>
          <w:rFonts w:ascii="Times New Roman" w:hAnsi="Times New Roman" w:cs="Times New Roman"/>
          <w:sz w:val="24"/>
          <w:szCs w:val="24"/>
        </w:rPr>
        <w:t xml:space="preserve"> млн. рублей, в сопоставимых ценах </w:t>
      </w:r>
      <w:r>
        <w:rPr>
          <w:rFonts w:ascii="Times New Roman" w:hAnsi="Times New Roman" w:cs="Times New Roman"/>
          <w:sz w:val="24"/>
          <w:szCs w:val="24"/>
        </w:rPr>
        <w:t>106,0</w:t>
      </w:r>
      <w:r w:rsidRPr="00CA4DC6">
        <w:rPr>
          <w:rFonts w:ascii="Times New Roman" w:hAnsi="Times New Roman" w:cs="Times New Roman"/>
          <w:sz w:val="24"/>
          <w:szCs w:val="24"/>
        </w:rPr>
        <w:t xml:space="preserve"> % к 202</w:t>
      </w:r>
      <w:r>
        <w:rPr>
          <w:rFonts w:ascii="Times New Roman" w:hAnsi="Times New Roman" w:cs="Times New Roman"/>
          <w:sz w:val="24"/>
          <w:szCs w:val="24"/>
        </w:rPr>
        <w:t>3 году.</w:t>
      </w:r>
    </w:p>
    <w:p w:rsidR="000C6B51" w:rsidRPr="00452443" w:rsidRDefault="00630C1B" w:rsidP="0045244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3BA4">
        <w:rPr>
          <w:rFonts w:ascii="Times New Roman" w:hAnsi="Times New Roman" w:cs="Times New Roman"/>
          <w:sz w:val="24"/>
          <w:szCs w:val="24"/>
        </w:rPr>
        <w:t xml:space="preserve">Согласно официальным </w:t>
      </w:r>
      <w:r w:rsidR="00F416BB" w:rsidRPr="00CE3BA4">
        <w:rPr>
          <w:rFonts w:ascii="Times New Roman" w:hAnsi="Times New Roman" w:cs="Times New Roman"/>
          <w:sz w:val="24"/>
          <w:szCs w:val="24"/>
        </w:rPr>
        <w:t xml:space="preserve">статистическим </w:t>
      </w:r>
      <w:r w:rsidRPr="00CE3BA4">
        <w:rPr>
          <w:rFonts w:ascii="Times New Roman" w:hAnsi="Times New Roman" w:cs="Times New Roman"/>
          <w:sz w:val="24"/>
          <w:szCs w:val="24"/>
        </w:rPr>
        <w:t>данным за 20</w:t>
      </w:r>
      <w:r w:rsidR="00CA4DC6" w:rsidRPr="00CE3BA4">
        <w:rPr>
          <w:rFonts w:ascii="Times New Roman" w:hAnsi="Times New Roman" w:cs="Times New Roman"/>
          <w:sz w:val="24"/>
          <w:szCs w:val="24"/>
        </w:rPr>
        <w:t>20</w:t>
      </w:r>
      <w:r w:rsidRPr="00CE3BA4">
        <w:rPr>
          <w:rFonts w:ascii="Times New Roman" w:hAnsi="Times New Roman" w:cs="Times New Roman"/>
          <w:sz w:val="24"/>
          <w:szCs w:val="24"/>
        </w:rPr>
        <w:t xml:space="preserve"> год объем выполненных работ и услуг по виду деятельности «Строительство» собственными силами крупных и средних организаций Саткинского муниципального района сложился в сумме </w:t>
      </w:r>
      <w:r w:rsidR="000C6B51">
        <w:rPr>
          <w:rFonts w:ascii="Times New Roman" w:hAnsi="Times New Roman" w:cs="Times New Roman"/>
          <w:sz w:val="24"/>
          <w:szCs w:val="24"/>
        </w:rPr>
        <w:t>427,7</w:t>
      </w:r>
      <w:r w:rsidRPr="00CE3BA4">
        <w:rPr>
          <w:rFonts w:ascii="Times New Roman" w:hAnsi="Times New Roman" w:cs="Times New Roman"/>
          <w:sz w:val="24"/>
          <w:szCs w:val="24"/>
        </w:rPr>
        <w:t xml:space="preserve"> млн. рублей и, в сравнении с аналогичным периодом предыдущего года, </w:t>
      </w:r>
      <w:r w:rsidR="000C6B51">
        <w:rPr>
          <w:rFonts w:ascii="Times New Roman" w:hAnsi="Times New Roman" w:cs="Times New Roman"/>
          <w:sz w:val="24"/>
          <w:szCs w:val="24"/>
        </w:rPr>
        <w:t>снизился</w:t>
      </w:r>
      <w:r w:rsidRPr="00CE3BA4">
        <w:rPr>
          <w:rFonts w:ascii="Times New Roman" w:hAnsi="Times New Roman" w:cs="Times New Roman"/>
          <w:sz w:val="24"/>
          <w:szCs w:val="24"/>
        </w:rPr>
        <w:t xml:space="preserve"> н</w:t>
      </w:r>
      <w:r w:rsidR="00CA4DC6" w:rsidRPr="00CE3BA4">
        <w:rPr>
          <w:rFonts w:ascii="Times New Roman" w:hAnsi="Times New Roman" w:cs="Times New Roman"/>
          <w:sz w:val="24"/>
          <w:szCs w:val="24"/>
        </w:rPr>
        <w:t xml:space="preserve">а </w:t>
      </w:r>
      <w:r w:rsidR="000C6B51">
        <w:rPr>
          <w:rFonts w:ascii="Times New Roman" w:hAnsi="Times New Roman" w:cs="Times New Roman"/>
          <w:sz w:val="24"/>
          <w:szCs w:val="24"/>
        </w:rPr>
        <w:t>29,5</w:t>
      </w:r>
      <w:r w:rsidRPr="00CE3BA4">
        <w:rPr>
          <w:rFonts w:ascii="Times New Roman" w:hAnsi="Times New Roman" w:cs="Times New Roman"/>
          <w:sz w:val="24"/>
          <w:szCs w:val="24"/>
        </w:rPr>
        <w:t xml:space="preserve">%. </w:t>
      </w:r>
      <w:r w:rsidR="00452443">
        <w:rPr>
          <w:rFonts w:ascii="Times New Roman" w:hAnsi="Times New Roman" w:cs="Times New Roman"/>
          <w:sz w:val="24"/>
          <w:szCs w:val="24"/>
        </w:rPr>
        <w:t>С</w:t>
      </w:r>
      <w:r w:rsidR="000C6B51" w:rsidRPr="00452443">
        <w:rPr>
          <w:rFonts w:ascii="Times New Roman" w:hAnsi="Times New Roman" w:cs="Times New Roman"/>
          <w:sz w:val="24"/>
          <w:szCs w:val="26"/>
        </w:rPr>
        <w:t>нижение обусловлено введением</w:t>
      </w:r>
      <w:r w:rsidR="00452443">
        <w:rPr>
          <w:rFonts w:ascii="Times New Roman" w:hAnsi="Times New Roman" w:cs="Times New Roman"/>
          <w:sz w:val="24"/>
          <w:szCs w:val="26"/>
        </w:rPr>
        <w:t xml:space="preserve"> </w:t>
      </w:r>
      <w:r w:rsidR="000C6B51" w:rsidRPr="00452443">
        <w:rPr>
          <w:rFonts w:ascii="Times New Roman" w:hAnsi="Times New Roman" w:cs="Times New Roman"/>
          <w:sz w:val="24"/>
          <w:szCs w:val="26"/>
        </w:rPr>
        <w:t>ограничительных мероприятий, связанных с угрозой распространения новой</w:t>
      </w:r>
      <w:r w:rsidR="00452443">
        <w:rPr>
          <w:rFonts w:ascii="Times New Roman" w:hAnsi="Times New Roman" w:cs="Times New Roman"/>
          <w:sz w:val="24"/>
          <w:szCs w:val="26"/>
        </w:rPr>
        <w:t xml:space="preserve"> </w:t>
      </w:r>
      <w:proofErr w:type="spellStart"/>
      <w:r w:rsidR="000C6B51" w:rsidRPr="00452443">
        <w:rPr>
          <w:rFonts w:ascii="Times New Roman" w:hAnsi="Times New Roman" w:cs="Times New Roman"/>
          <w:sz w:val="24"/>
          <w:szCs w:val="26"/>
        </w:rPr>
        <w:t>коронавирусной</w:t>
      </w:r>
      <w:proofErr w:type="spellEnd"/>
      <w:r w:rsidR="000C6B51" w:rsidRPr="00452443">
        <w:rPr>
          <w:rFonts w:ascii="Times New Roman" w:hAnsi="Times New Roman" w:cs="Times New Roman"/>
          <w:sz w:val="24"/>
          <w:szCs w:val="26"/>
        </w:rPr>
        <w:t xml:space="preserve"> инфекции, а также колебанием курсов валют, что привело к</w:t>
      </w:r>
      <w:r w:rsidR="00452443">
        <w:rPr>
          <w:rFonts w:ascii="Times New Roman" w:hAnsi="Times New Roman" w:cs="Times New Roman"/>
          <w:sz w:val="24"/>
          <w:szCs w:val="26"/>
        </w:rPr>
        <w:t xml:space="preserve"> </w:t>
      </w:r>
      <w:r w:rsidR="000C6B51" w:rsidRPr="00452443">
        <w:rPr>
          <w:rFonts w:ascii="Times New Roman" w:hAnsi="Times New Roman" w:cs="Times New Roman"/>
          <w:sz w:val="24"/>
          <w:szCs w:val="26"/>
        </w:rPr>
        <w:t>повышению цен на некоторые строительные материалы до 25 процент</w:t>
      </w:r>
      <w:r w:rsidR="00452443" w:rsidRPr="00452443">
        <w:rPr>
          <w:rFonts w:ascii="Times New Roman" w:hAnsi="Times New Roman" w:cs="Times New Roman"/>
          <w:sz w:val="24"/>
          <w:szCs w:val="26"/>
        </w:rPr>
        <w:t>ов.</w:t>
      </w:r>
      <w:r w:rsidR="00452443">
        <w:rPr>
          <w:rFonts w:ascii="Times New Roman" w:hAnsi="Times New Roman" w:cs="Times New Roman"/>
          <w:sz w:val="24"/>
          <w:szCs w:val="26"/>
        </w:rPr>
        <w:t xml:space="preserve"> </w:t>
      </w:r>
      <w:r w:rsidR="00452443" w:rsidRPr="00452443">
        <w:rPr>
          <w:rFonts w:ascii="Times New Roman" w:hAnsi="Times New Roman" w:cs="Times New Roman"/>
          <w:sz w:val="24"/>
          <w:szCs w:val="24"/>
        </w:rPr>
        <w:t>Учитывая дальнейшее постепенное восстановление инвестиционной активности</w:t>
      </w:r>
      <w:r w:rsidR="00452443">
        <w:rPr>
          <w:rFonts w:ascii="Times New Roman" w:hAnsi="Times New Roman" w:cs="Times New Roman"/>
          <w:sz w:val="24"/>
          <w:szCs w:val="24"/>
        </w:rPr>
        <w:t xml:space="preserve"> </w:t>
      </w:r>
      <w:r w:rsidR="00452443" w:rsidRPr="00452443">
        <w:rPr>
          <w:rFonts w:ascii="Times New Roman" w:hAnsi="Times New Roman" w:cs="Times New Roman"/>
          <w:sz w:val="24"/>
          <w:szCs w:val="24"/>
        </w:rPr>
        <w:t xml:space="preserve">предприятий, в прогнозный период ожидается </w:t>
      </w:r>
      <w:r w:rsidR="00452443">
        <w:rPr>
          <w:rFonts w:ascii="Times New Roman" w:hAnsi="Times New Roman" w:cs="Times New Roman"/>
          <w:sz w:val="24"/>
          <w:szCs w:val="24"/>
        </w:rPr>
        <w:t xml:space="preserve">восстановительный </w:t>
      </w:r>
      <w:r w:rsidR="00452443" w:rsidRPr="00452443">
        <w:rPr>
          <w:rFonts w:ascii="Times New Roman" w:hAnsi="Times New Roman" w:cs="Times New Roman"/>
          <w:sz w:val="24"/>
          <w:szCs w:val="24"/>
        </w:rPr>
        <w:t>рост объема работ в строительстве</w:t>
      </w:r>
    </w:p>
    <w:p w:rsidR="00630C1B" w:rsidRPr="00CE3BA4" w:rsidRDefault="00452443" w:rsidP="00D6348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30C1B" w:rsidRPr="00CE3BA4">
        <w:rPr>
          <w:rFonts w:ascii="Times New Roman" w:hAnsi="Times New Roman" w:cs="Times New Roman"/>
          <w:sz w:val="24"/>
          <w:szCs w:val="24"/>
        </w:rPr>
        <w:t>бъем выполненных работ и услуг собственными силами крупных и средних предприятий и организаций по виду деятельности «Строительство» по итогам 202</w:t>
      </w:r>
      <w:r w:rsidR="00CA4DC6" w:rsidRPr="00CE3BA4">
        <w:rPr>
          <w:rFonts w:ascii="Times New Roman" w:hAnsi="Times New Roman" w:cs="Times New Roman"/>
          <w:sz w:val="24"/>
          <w:szCs w:val="24"/>
        </w:rPr>
        <w:t>1</w:t>
      </w:r>
      <w:r w:rsidR="00630C1B" w:rsidRPr="00CE3BA4">
        <w:rPr>
          <w:rFonts w:ascii="Times New Roman" w:hAnsi="Times New Roman" w:cs="Times New Roman"/>
          <w:sz w:val="24"/>
          <w:szCs w:val="24"/>
        </w:rPr>
        <w:t xml:space="preserve"> года оценивается в размере </w:t>
      </w:r>
      <w:r w:rsidR="00CA4DC6" w:rsidRPr="00CE3BA4">
        <w:rPr>
          <w:rFonts w:ascii="Times New Roman" w:hAnsi="Times New Roman" w:cs="Times New Roman"/>
          <w:sz w:val="24"/>
          <w:szCs w:val="24"/>
        </w:rPr>
        <w:t>445,4</w:t>
      </w:r>
      <w:r w:rsidR="00630C1B" w:rsidRPr="00CE3BA4">
        <w:rPr>
          <w:rFonts w:ascii="Times New Roman" w:hAnsi="Times New Roman" w:cs="Times New Roman"/>
          <w:sz w:val="24"/>
          <w:szCs w:val="24"/>
        </w:rPr>
        <w:t xml:space="preserve"> млн. рублей, что </w:t>
      </w:r>
      <w:r w:rsidR="00CA4DC6" w:rsidRPr="00CE3BA4">
        <w:rPr>
          <w:rFonts w:ascii="Times New Roman" w:hAnsi="Times New Roman" w:cs="Times New Roman"/>
          <w:sz w:val="24"/>
          <w:szCs w:val="24"/>
        </w:rPr>
        <w:t>составит 100,5% к аналогичному периоду 2020 года</w:t>
      </w:r>
      <w:r w:rsidR="00630C1B" w:rsidRPr="00CE3B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0C1B" w:rsidRPr="00CE3BA4" w:rsidRDefault="00630C1B" w:rsidP="00630C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BA4">
        <w:rPr>
          <w:rFonts w:ascii="Times New Roman" w:hAnsi="Times New Roman" w:cs="Times New Roman"/>
          <w:sz w:val="24"/>
          <w:szCs w:val="24"/>
        </w:rPr>
        <w:t>В 202</w:t>
      </w:r>
      <w:r w:rsidR="00CA4DC6" w:rsidRPr="00CE3BA4">
        <w:rPr>
          <w:rFonts w:ascii="Times New Roman" w:hAnsi="Times New Roman" w:cs="Times New Roman"/>
          <w:sz w:val="24"/>
          <w:szCs w:val="24"/>
        </w:rPr>
        <w:t>2</w:t>
      </w:r>
      <w:r w:rsidRPr="00CE3BA4">
        <w:rPr>
          <w:rFonts w:ascii="Times New Roman" w:hAnsi="Times New Roman" w:cs="Times New Roman"/>
          <w:sz w:val="24"/>
          <w:szCs w:val="24"/>
        </w:rPr>
        <w:t xml:space="preserve"> году объем выполненных работ и услуг собственными силами крупных и средних организаций по виду деятельности «Строительство» ожидается: в консервативном варианте – </w:t>
      </w:r>
      <w:r w:rsidR="00CA4DC6" w:rsidRPr="00CE3BA4">
        <w:rPr>
          <w:rFonts w:ascii="Times New Roman" w:hAnsi="Times New Roman" w:cs="Times New Roman"/>
          <w:sz w:val="24"/>
          <w:szCs w:val="24"/>
        </w:rPr>
        <w:t>462,2</w:t>
      </w:r>
      <w:r w:rsidRPr="00CE3BA4">
        <w:rPr>
          <w:rFonts w:ascii="Times New Roman" w:hAnsi="Times New Roman" w:cs="Times New Roman"/>
          <w:sz w:val="24"/>
          <w:szCs w:val="24"/>
        </w:rPr>
        <w:t xml:space="preserve"> млн. рублей, в </w:t>
      </w:r>
      <w:r w:rsidR="00CA4DC6" w:rsidRPr="00CE3BA4">
        <w:rPr>
          <w:rFonts w:ascii="Times New Roman" w:hAnsi="Times New Roman" w:cs="Times New Roman"/>
          <w:sz w:val="24"/>
          <w:szCs w:val="24"/>
        </w:rPr>
        <w:t>сопоставимых</w:t>
      </w:r>
      <w:r w:rsidRPr="00CE3BA4">
        <w:rPr>
          <w:rFonts w:ascii="Times New Roman" w:hAnsi="Times New Roman" w:cs="Times New Roman"/>
          <w:sz w:val="24"/>
          <w:szCs w:val="24"/>
        </w:rPr>
        <w:t xml:space="preserve"> ценах </w:t>
      </w:r>
      <w:r w:rsidR="00CA4DC6" w:rsidRPr="00CE3BA4">
        <w:rPr>
          <w:rFonts w:ascii="Times New Roman" w:hAnsi="Times New Roman" w:cs="Times New Roman"/>
          <w:sz w:val="24"/>
          <w:szCs w:val="24"/>
        </w:rPr>
        <w:t>составит 99,5</w:t>
      </w:r>
      <w:r w:rsidRPr="00CE3BA4">
        <w:rPr>
          <w:rFonts w:ascii="Times New Roman" w:hAnsi="Times New Roman" w:cs="Times New Roman"/>
          <w:sz w:val="24"/>
          <w:szCs w:val="24"/>
        </w:rPr>
        <w:t>% к 202</w:t>
      </w:r>
      <w:r w:rsidR="00CA4DC6" w:rsidRPr="00CE3BA4">
        <w:rPr>
          <w:rFonts w:ascii="Times New Roman" w:hAnsi="Times New Roman" w:cs="Times New Roman"/>
          <w:sz w:val="24"/>
          <w:szCs w:val="24"/>
        </w:rPr>
        <w:t xml:space="preserve">1 </w:t>
      </w:r>
      <w:r w:rsidRPr="00CE3BA4">
        <w:rPr>
          <w:rFonts w:ascii="Times New Roman" w:hAnsi="Times New Roman" w:cs="Times New Roman"/>
          <w:sz w:val="24"/>
          <w:szCs w:val="24"/>
        </w:rPr>
        <w:t>году; в базовом варианте – 4</w:t>
      </w:r>
      <w:r w:rsidR="00CA4DC6" w:rsidRPr="00CE3BA4">
        <w:rPr>
          <w:rFonts w:ascii="Times New Roman" w:hAnsi="Times New Roman" w:cs="Times New Roman"/>
          <w:sz w:val="24"/>
          <w:szCs w:val="24"/>
        </w:rPr>
        <w:t>75,7</w:t>
      </w:r>
      <w:r w:rsidRPr="00CE3BA4">
        <w:rPr>
          <w:rFonts w:ascii="Times New Roman" w:hAnsi="Times New Roman" w:cs="Times New Roman"/>
          <w:sz w:val="24"/>
          <w:szCs w:val="24"/>
        </w:rPr>
        <w:t xml:space="preserve"> млн. рублей, </w:t>
      </w:r>
      <w:r w:rsidR="00CA4DC6" w:rsidRPr="00CE3BA4">
        <w:rPr>
          <w:rFonts w:ascii="Times New Roman" w:hAnsi="Times New Roman" w:cs="Times New Roman"/>
          <w:sz w:val="24"/>
          <w:szCs w:val="24"/>
        </w:rPr>
        <w:t>в сопоставимых ценах составит 102,5% к 2021 году</w:t>
      </w:r>
      <w:r w:rsidRPr="00CE3B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4DC6" w:rsidRPr="00CE3BA4" w:rsidRDefault="00CA4DC6" w:rsidP="00CA4DC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BA4">
        <w:rPr>
          <w:rFonts w:ascii="Times New Roman" w:hAnsi="Times New Roman" w:cs="Times New Roman"/>
          <w:sz w:val="24"/>
          <w:szCs w:val="24"/>
        </w:rPr>
        <w:t>В 2023 году объем выполненных работ и услуг собственными силами крупных и средних организаций по виду деятельности «Строительство» ожидается: в консервативном варианте – 486,4 млн. рублей, в сопоставимых ценах составит 101,0% к 2022 году; в базовом варианте – 518,9 млн. рублей, в сопоставимых ценах составит 10</w:t>
      </w:r>
      <w:r w:rsidR="002F7229" w:rsidRPr="00CE3BA4">
        <w:rPr>
          <w:rFonts w:ascii="Times New Roman" w:hAnsi="Times New Roman" w:cs="Times New Roman"/>
          <w:sz w:val="24"/>
          <w:szCs w:val="24"/>
        </w:rPr>
        <w:t>4</w:t>
      </w:r>
      <w:r w:rsidRPr="00CE3BA4">
        <w:rPr>
          <w:rFonts w:ascii="Times New Roman" w:hAnsi="Times New Roman" w:cs="Times New Roman"/>
          <w:sz w:val="24"/>
          <w:szCs w:val="24"/>
        </w:rPr>
        <w:t>,5% к 202</w:t>
      </w:r>
      <w:r w:rsidR="002F7229" w:rsidRPr="00CE3BA4">
        <w:rPr>
          <w:rFonts w:ascii="Times New Roman" w:hAnsi="Times New Roman" w:cs="Times New Roman"/>
          <w:sz w:val="24"/>
          <w:szCs w:val="24"/>
        </w:rPr>
        <w:t>2</w:t>
      </w:r>
      <w:r w:rsidRPr="00CE3BA4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2F7229" w:rsidRPr="00CE3BA4" w:rsidRDefault="002F7229" w:rsidP="002F722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BA4">
        <w:rPr>
          <w:rFonts w:ascii="Times New Roman" w:hAnsi="Times New Roman" w:cs="Times New Roman"/>
          <w:sz w:val="24"/>
          <w:szCs w:val="24"/>
        </w:rPr>
        <w:t xml:space="preserve">В 2024 году объем выполненных работ и услуг собственными силами крупных и средних организаций по виду деятельности «Строительство» ожидается: в консервативном варианте – 524,6 млн. рублей, в сопоставимых ценах составит 103,5% к </w:t>
      </w:r>
      <w:r w:rsidRPr="00CE3BA4">
        <w:rPr>
          <w:rFonts w:ascii="Times New Roman" w:hAnsi="Times New Roman" w:cs="Times New Roman"/>
          <w:sz w:val="24"/>
          <w:szCs w:val="24"/>
        </w:rPr>
        <w:lastRenderedPageBreak/>
        <w:t xml:space="preserve">2023 году; в базовом варианте – 593,8 млн. рублей, в сопоставимых ценах составит 109,5% к 2023 году. </w:t>
      </w:r>
    </w:p>
    <w:p w:rsidR="00630C1B" w:rsidRPr="00CE3BA4" w:rsidRDefault="00630C1B" w:rsidP="00630C1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3BA4">
        <w:rPr>
          <w:rFonts w:ascii="Times New Roman" w:hAnsi="Times New Roman" w:cs="Times New Roman"/>
          <w:sz w:val="24"/>
          <w:szCs w:val="24"/>
        </w:rPr>
        <w:t>Согласно официальным данным ИФНС среднегодовая стоимость имущества, облагаемого налогом на имущество организаций в Саткинском муниципальном районе, по итогам 20</w:t>
      </w:r>
      <w:r w:rsidR="00F925F9" w:rsidRPr="00CE3BA4">
        <w:rPr>
          <w:rFonts w:ascii="Times New Roman" w:hAnsi="Times New Roman" w:cs="Times New Roman"/>
          <w:sz w:val="24"/>
          <w:szCs w:val="24"/>
        </w:rPr>
        <w:t>20</w:t>
      </w:r>
      <w:r w:rsidRPr="00CE3BA4">
        <w:rPr>
          <w:rFonts w:ascii="Times New Roman" w:hAnsi="Times New Roman" w:cs="Times New Roman"/>
          <w:sz w:val="24"/>
          <w:szCs w:val="24"/>
        </w:rPr>
        <w:t xml:space="preserve"> года, сложилась в сумме 5</w:t>
      </w:r>
      <w:r w:rsidR="00F925F9" w:rsidRPr="00CE3BA4">
        <w:rPr>
          <w:rFonts w:ascii="Times New Roman" w:hAnsi="Times New Roman" w:cs="Times New Roman"/>
          <w:sz w:val="24"/>
          <w:szCs w:val="24"/>
        </w:rPr>
        <w:t> 642,3</w:t>
      </w:r>
      <w:r w:rsidRPr="00CE3BA4">
        <w:rPr>
          <w:rFonts w:ascii="Times New Roman" w:hAnsi="Times New Roman" w:cs="Times New Roman"/>
          <w:sz w:val="24"/>
          <w:szCs w:val="24"/>
        </w:rPr>
        <w:t xml:space="preserve"> млн. рублей и к уровню прошлого года составила </w:t>
      </w:r>
      <w:r w:rsidR="00F925F9" w:rsidRPr="00CE3BA4">
        <w:rPr>
          <w:rFonts w:ascii="Times New Roman" w:hAnsi="Times New Roman" w:cs="Times New Roman"/>
          <w:sz w:val="24"/>
          <w:szCs w:val="24"/>
        </w:rPr>
        <w:t xml:space="preserve">102,3 </w:t>
      </w:r>
      <w:r w:rsidRPr="00CE3BA4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630C1B" w:rsidRPr="00CE3BA4" w:rsidRDefault="00630C1B" w:rsidP="00630C1B">
      <w:pPr>
        <w:pStyle w:val="ad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color w:val="FF0000"/>
        </w:rPr>
      </w:pPr>
      <w:r w:rsidRPr="00CE3BA4">
        <w:t xml:space="preserve">         В основе оценки показателя и значений прогнозируемого периода лежат данные крупных и средних организаций, осуществляющих свою деятельность на территории Саткинского муниципального района, таких как ПАО «Комбинат «Магнезит», ООО «Группа «Магнезит», АО «СЧПЗ», ООО «Бакальское рудоуправление». Инвестиционные проекты </w:t>
      </w:r>
      <w:r w:rsidR="00F925F9" w:rsidRPr="00CE3BA4">
        <w:t xml:space="preserve">и </w:t>
      </w:r>
      <w:r w:rsidRPr="00CE3BA4">
        <w:t>мероприятия</w:t>
      </w:r>
      <w:r w:rsidR="00F925F9" w:rsidRPr="00CE3BA4">
        <w:t>, направленные на модернизацию производственных процессов</w:t>
      </w:r>
      <w:r w:rsidRPr="00CE3BA4">
        <w:t xml:space="preserve"> являются самыми крупными и значимыми в районе. </w:t>
      </w:r>
    </w:p>
    <w:p w:rsidR="00630C1B" w:rsidRPr="00F925F9" w:rsidRDefault="00630C1B" w:rsidP="00630C1B">
      <w:pPr>
        <w:pStyle w:val="ad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</w:pPr>
      <w:r w:rsidRPr="00864FD1">
        <w:rPr>
          <w:color w:val="FF0000"/>
        </w:rPr>
        <w:t xml:space="preserve">      </w:t>
      </w:r>
      <w:r w:rsidRPr="00F925F9">
        <w:t xml:space="preserve">   По итогам 202</w:t>
      </w:r>
      <w:r w:rsidR="00F925F9" w:rsidRPr="00F925F9">
        <w:t>1</w:t>
      </w:r>
      <w:r w:rsidRPr="00F925F9">
        <w:t xml:space="preserve"> года, ожидаемая среднегодовая стоимость имущества, облагаемая налогом на имущество организаций Саткинского муниципального района </w:t>
      </w:r>
      <w:r w:rsidR="00F925F9" w:rsidRPr="00F925F9">
        <w:t>оценивается</w:t>
      </w:r>
      <w:r w:rsidRPr="00F925F9">
        <w:t xml:space="preserve"> в сумме </w:t>
      </w:r>
      <w:r w:rsidR="00F925F9" w:rsidRPr="00F925F9">
        <w:t>6150,1</w:t>
      </w:r>
      <w:r w:rsidRPr="00F925F9">
        <w:t xml:space="preserve"> млн. рублей и, к соответствующему периоду предыдущего года, составила 10</w:t>
      </w:r>
      <w:r w:rsidR="00F925F9" w:rsidRPr="00F925F9">
        <w:t>9,0</w:t>
      </w:r>
      <w:r w:rsidRPr="00F925F9">
        <w:t xml:space="preserve"> %. </w:t>
      </w:r>
    </w:p>
    <w:p w:rsidR="00630C1B" w:rsidRPr="00864FD1" w:rsidRDefault="00630C1B" w:rsidP="00630C1B">
      <w:pPr>
        <w:pStyle w:val="ad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FF0000"/>
        </w:rPr>
      </w:pPr>
      <w:r w:rsidRPr="00864FD1">
        <w:rPr>
          <w:color w:val="FF0000"/>
        </w:rPr>
        <w:t xml:space="preserve">         </w:t>
      </w:r>
      <w:r w:rsidRPr="00F925F9">
        <w:t>В прогнозируемом периоде ожидается рост показателя, в связи с продолжением строительства объектов в рамках инвестиционных проектов предприятий и организаций района.</w:t>
      </w:r>
    </w:p>
    <w:p w:rsidR="00630C1B" w:rsidRPr="00B25D26" w:rsidRDefault="00630C1B" w:rsidP="00630C1B">
      <w:pPr>
        <w:pStyle w:val="ad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</w:pPr>
      <w:r w:rsidRPr="00864FD1">
        <w:rPr>
          <w:color w:val="FF0000"/>
        </w:rPr>
        <w:t xml:space="preserve">      </w:t>
      </w:r>
      <w:r w:rsidRPr="00F925F9">
        <w:t xml:space="preserve">   В 202</w:t>
      </w:r>
      <w:r w:rsidR="00F925F9" w:rsidRPr="00F925F9">
        <w:t>2</w:t>
      </w:r>
      <w:r w:rsidRPr="00F925F9">
        <w:t xml:space="preserve"> году среднегодовая стоимость имущества, облагаемая налогом на имущество организаций </w:t>
      </w:r>
      <w:r w:rsidRPr="009829DF">
        <w:t>ожидается: в консервативном варианте – 6</w:t>
      </w:r>
      <w:r w:rsidR="00F925F9" w:rsidRPr="009829DF">
        <w:t> 599,0</w:t>
      </w:r>
      <w:r w:rsidRPr="009829DF">
        <w:t xml:space="preserve"> млн. рублей, в действующих ценах это </w:t>
      </w:r>
      <w:r w:rsidR="00F925F9" w:rsidRPr="009829DF">
        <w:t>107,3 % к 2021</w:t>
      </w:r>
      <w:r w:rsidRPr="009829DF">
        <w:t xml:space="preserve"> году, в базовом варианте – 6</w:t>
      </w:r>
      <w:r w:rsidR="00D626C1" w:rsidRPr="009829DF">
        <w:t> 697,4</w:t>
      </w:r>
      <w:r w:rsidRPr="009829DF">
        <w:t xml:space="preserve"> млн. рублей, в действующих ценах </w:t>
      </w:r>
      <w:r w:rsidRPr="00B25D26">
        <w:t>составит 10</w:t>
      </w:r>
      <w:r w:rsidR="00D626C1" w:rsidRPr="00B25D26">
        <w:t>8,</w:t>
      </w:r>
      <w:r w:rsidRPr="00B25D26">
        <w:t>9 % к 202</w:t>
      </w:r>
      <w:r w:rsidR="00D626C1" w:rsidRPr="00B25D26">
        <w:t>1</w:t>
      </w:r>
      <w:r w:rsidRPr="00B25D26">
        <w:t xml:space="preserve"> году. </w:t>
      </w:r>
    </w:p>
    <w:p w:rsidR="00D6699D" w:rsidRPr="00B25D26" w:rsidRDefault="00B25D26" w:rsidP="0069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25D26">
        <w:rPr>
          <w:rFonts w:ascii="Times New Roman" w:hAnsi="Times New Roman" w:cs="Times New Roman"/>
          <w:sz w:val="24"/>
          <w:szCs w:val="28"/>
        </w:rPr>
        <w:t>В 2023 году среднегодовая стоимость имущества, облагаемая налогом на имущество организаций ожидается: в консервативном варианте – 7087,4 млн. рублей, в действующих ценах это 107,4 % к 2022 году, в базовом варианте – 7286,8 млн. рублей, в действующих ценах составит 108,8 % к 2022 году.</w:t>
      </w:r>
    </w:p>
    <w:p w:rsidR="00B25D26" w:rsidRDefault="00B25D26" w:rsidP="0069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B3791">
        <w:rPr>
          <w:rFonts w:ascii="Times New Roman" w:hAnsi="Times New Roman" w:cs="Times New Roman"/>
          <w:sz w:val="24"/>
          <w:szCs w:val="28"/>
        </w:rPr>
        <w:t>В 202</w:t>
      </w:r>
      <w:r w:rsidR="001B3791" w:rsidRPr="001B3791">
        <w:rPr>
          <w:rFonts w:ascii="Times New Roman" w:hAnsi="Times New Roman" w:cs="Times New Roman"/>
          <w:sz w:val="24"/>
          <w:szCs w:val="28"/>
        </w:rPr>
        <w:t>4</w:t>
      </w:r>
      <w:r w:rsidRPr="001B3791">
        <w:rPr>
          <w:rFonts w:ascii="Times New Roman" w:hAnsi="Times New Roman" w:cs="Times New Roman"/>
          <w:sz w:val="24"/>
          <w:szCs w:val="28"/>
        </w:rPr>
        <w:t xml:space="preserve"> году среднегодовая стоимость имущества, облагаемая налогом на имущество организаций ожидается: в консервативном варианте – </w:t>
      </w:r>
      <w:r w:rsidR="001B3791" w:rsidRPr="001B3791">
        <w:rPr>
          <w:rFonts w:ascii="Times New Roman" w:hAnsi="Times New Roman" w:cs="Times New Roman"/>
          <w:sz w:val="24"/>
          <w:szCs w:val="28"/>
        </w:rPr>
        <w:t>7647,3</w:t>
      </w:r>
      <w:r w:rsidRPr="001B3791">
        <w:rPr>
          <w:rFonts w:ascii="Times New Roman" w:hAnsi="Times New Roman" w:cs="Times New Roman"/>
          <w:sz w:val="24"/>
          <w:szCs w:val="28"/>
        </w:rPr>
        <w:t xml:space="preserve"> млн. рублей, в действующих ценах это 107,</w:t>
      </w:r>
      <w:r w:rsidR="001B3791" w:rsidRPr="001B3791">
        <w:rPr>
          <w:rFonts w:ascii="Times New Roman" w:hAnsi="Times New Roman" w:cs="Times New Roman"/>
          <w:sz w:val="24"/>
          <w:szCs w:val="28"/>
        </w:rPr>
        <w:t>9</w:t>
      </w:r>
      <w:r w:rsidRPr="001B3791">
        <w:rPr>
          <w:rFonts w:ascii="Times New Roman" w:hAnsi="Times New Roman" w:cs="Times New Roman"/>
          <w:sz w:val="24"/>
          <w:szCs w:val="28"/>
        </w:rPr>
        <w:t xml:space="preserve"> % к 202</w:t>
      </w:r>
      <w:r w:rsidR="001B3791" w:rsidRPr="001B3791">
        <w:rPr>
          <w:rFonts w:ascii="Times New Roman" w:hAnsi="Times New Roman" w:cs="Times New Roman"/>
          <w:sz w:val="24"/>
          <w:szCs w:val="28"/>
        </w:rPr>
        <w:t>3</w:t>
      </w:r>
      <w:r w:rsidRPr="001B3791">
        <w:rPr>
          <w:rFonts w:ascii="Times New Roman" w:hAnsi="Times New Roman" w:cs="Times New Roman"/>
          <w:sz w:val="24"/>
          <w:szCs w:val="28"/>
        </w:rPr>
        <w:t xml:space="preserve"> году, в базовом варианте – </w:t>
      </w:r>
      <w:r w:rsidR="001B3791" w:rsidRPr="001B3791">
        <w:rPr>
          <w:rFonts w:ascii="Times New Roman" w:hAnsi="Times New Roman" w:cs="Times New Roman"/>
          <w:sz w:val="24"/>
          <w:szCs w:val="28"/>
        </w:rPr>
        <w:t>7906,2</w:t>
      </w:r>
      <w:r w:rsidRPr="001B3791">
        <w:rPr>
          <w:rFonts w:ascii="Times New Roman" w:hAnsi="Times New Roman" w:cs="Times New Roman"/>
          <w:sz w:val="24"/>
          <w:szCs w:val="28"/>
        </w:rPr>
        <w:t xml:space="preserve"> млн. рублей, в действующих ценах составит 108,</w:t>
      </w:r>
      <w:r w:rsidR="001B3791" w:rsidRPr="001B3791">
        <w:rPr>
          <w:rFonts w:ascii="Times New Roman" w:hAnsi="Times New Roman" w:cs="Times New Roman"/>
          <w:sz w:val="24"/>
          <w:szCs w:val="28"/>
        </w:rPr>
        <w:t>5 % к 2023</w:t>
      </w:r>
      <w:r w:rsidRPr="001B3791">
        <w:rPr>
          <w:rFonts w:ascii="Times New Roman" w:hAnsi="Times New Roman" w:cs="Times New Roman"/>
          <w:sz w:val="24"/>
          <w:szCs w:val="28"/>
        </w:rPr>
        <w:t xml:space="preserve"> году.</w:t>
      </w:r>
    </w:p>
    <w:p w:rsidR="003C7BF1" w:rsidRPr="001B3791" w:rsidRDefault="003C7BF1" w:rsidP="0069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98501A" w:rsidRPr="009468DC" w:rsidRDefault="0098501A" w:rsidP="003C7BF1">
      <w:pPr>
        <w:pStyle w:val="a7"/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468DC">
        <w:rPr>
          <w:rFonts w:ascii="Times New Roman" w:hAnsi="Times New Roman" w:cs="Times New Roman"/>
          <w:b/>
          <w:sz w:val="24"/>
          <w:szCs w:val="28"/>
        </w:rPr>
        <w:t>Бюджет</w:t>
      </w:r>
    </w:p>
    <w:p w:rsidR="009468DC" w:rsidRPr="009468DC" w:rsidRDefault="00630C1B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468DC">
        <w:rPr>
          <w:rFonts w:ascii="Times New Roman" w:hAnsi="Times New Roman" w:cs="Times New Roman"/>
          <w:sz w:val="24"/>
        </w:rPr>
        <w:lastRenderedPageBreak/>
        <w:t>Прогноз консолидированного бюджета Саткинского муниципального района по доходам на 202</w:t>
      </w:r>
      <w:r w:rsidR="009468DC" w:rsidRPr="009468DC">
        <w:rPr>
          <w:rFonts w:ascii="Times New Roman" w:hAnsi="Times New Roman" w:cs="Times New Roman"/>
          <w:sz w:val="24"/>
        </w:rPr>
        <w:t>2</w:t>
      </w:r>
      <w:r w:rsidRPr="009468DC">
        <w:rPr>
          <w:rFonts w:ascii="Times New Roman" w:hAnsi="Times New Roman" w:cs="Times New Roman"/>
          <w:sz w:val="24"/>
        </w:rPr>
        <w:t xml:space="preserve"> и плановый период 202</w:t>
      </w:r>
      <w:r w:rsidR="009468DC" w:rsidRPr="009468DC">
        <w:rPr>
          <w:rFonts w:ascii="Times New Roman" w:hAnsi="Times New Roman" w:cs="Times New Roman"/>
          <w:sz w:val="24"/>
        </w:rPr>
        <w:t>3</w:t>
      </w:r>
      <w:r w:rsidRPr="009468DC">
        <w:rPr>
          <w:rFonts w:ascii="Times New Roman" w:hAnsi="Times New Roman" w:cs="Times New Roman"/>
          <w:sz w:val="24"/>
        </w:rPr>
        <w:t xml:space="preserve"> и 202</w:t>
      </w:r>
      <w:r w:rsidR="009468DC" w:rsidRPr="009468DC">
        <w:rPr>
          <w:rFonts w:ascii="Times New Roman" w:hAnsi="Times New Roman" w:cs="Times New Roman"/>
          <w:sz w:val="24"/>
        </w:rPr>
        <w:t>4</w:t>
      </w:r>
      <w:r w:rsidRPr="009468DC">
        <w:rPr>
          <w:rFonts w:ascii="Times New Roman" w:hAnsi="Times New Roman" w:cs="Times New Roman"/>
          <w:sz w:val="24"/>
        </w:rPr>
        <w:t xml:space="preserve"> годов составлен</w:t>
      </w:r>
      <w:r w:rsidR="009468DC" w:rsidRPr="009468DC">
        <w:rPr>
          <w:rFonts w:ascii="Times New Roman" w:hAnsi="Times New Roman" w:cs="Times New Roman"/>
          <w:sz w:val="24"/>
        </w:rPr>
        <w:t>ы:</w:t>
      </w:r>
    </w:p>
    <w:p w:rsidR="00630C1B" w:rsidRDefault="00630C1B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40C16">
        <w:rPr>
          <w:rFonts w:ascii="Times New Roman" w:hAnsi="Times New Roman" w:cs="Times New Roman"/>
          <w:sz w:val="24"/>
        </w:rPr>
        <w:t xml:space="preserve">в </w:t>
      </w:r>
      <w:r w:rsidR="00240C16" w:rsidRPr="00240C16">
        <w:rPr>
          <w:rFonts w:ascii="Times New Roman" w:hAnsi="Times New Roman" w:cs="Times New Roman"/>
          <w:sz w:val="24"/>
        </w:rPr>
        <w:t>части собственных налоговых и неналоговых доходов на базе прогноза</w:t>
      </w:r>
      <w:r w:rsidRPr="00240C16">
        <w:rPr>
          <w:rFonts w:ascii="Times New Roman" w:hAnsi="Times New Roman" w:cs="Times New Roman"/>
          <w:sz w:val="24"/>
        </w:rPr>
        <w:t xml:space="preserve"> основны</w:t>
      </w:r>
      <w:r w:rsidR="00240C16" w:rsidRPr="00240C16">
        <w:rPr>
          <w:rFonts w:ascii="Times New Roman" w:hAnsi="Times New Roman" w:cs="Times New Roman"/>
          <w:sz w:val="24"/>
        </w:rPr>
        <w:t>х</w:t>
      </w:r>
      <w:r w:rsidRPr="00240C16">
        <w:rPr>
          <w:rFonts w:ascii="Times New Roman" w:hAnsi="Times New Roman" w:cs="Times New Roman"/>
          <w:sz w:val="24"/>
        </w:rPr>
        <w:t xml:space="preserve"> показател</w:t>
      </w:r>
      <w:r w:rsidR="00240C16" w:rsidRPr="00240C16">
        <w:rPr>
          <w:rFonts w:ascii="Times New Roman" w:hAnsi="Times New Roman" w:cs="Times New Roman"/>
          <w:sz w:val="24"/>
        </w:rPr>
        <w:t>ей</w:t>
      </w:r>
      <w:r w:rsidRPr="00240C16">
        <w:rPr>
          <w:rFonts w:ascii="Times New Roman" w:hAnsi="Times New Roman" w:cs="Times New Roman"/>
          <w:sz w:val="24"/>
        </w:rPr>
        <w:t xml:space="preserve"> социально-экономического развития Саткинского муниципального района до 202</w:t>
      </w:r>
      <w:r w:rsidR="00240C16" w:rsidRPr="00240C16">
        <w:rPr>
          <w:rFonts w:ascii="Times New Roman" w:hAnsi="Times New Roman" w:cs="Times New Roman"/>
          <w:sz w:val="24"/>
        </w:rPr>
        <w:t>4</w:t>
      </w:r>
      <w:r w:rsidRPr="00240C16">
        <w:rPr>
          <w:rFonts w:ascii="Times New Roman" w:hAnsi="Times New Roman" w:cs="Times New Roman"/>
          <w:sz w:val="24"/>
        </w:rPr>
        <w:t xml:space="preserve"> года, из ситуации, сложившейся в 20</w:t>
      </w:r>
      <w:r w:rsidR="00240C16" w:rsidRPr="00240C16">
        <w:rPr>
          <w:rFonts w:ascii="Times New Roman" w:hAnsi="Times New Roman" w:cs="Times New Roman"/>
          <w:sz w:val="24"/>
        </w:rPr>
        <w:t>20</w:t>
      </w:r>
      <w:r w:rsidRPr="00240C16">
        <w:rPr>
          <w:rFonts w:ascii="Times New Roman" w:hAnsi="Times New Roman" w:cs="Times New Roman"/>
          <w:sz w:val="24"/>
        </w:rPr>
        <w:t xml:space="preserve"> году и за </w:t>
      </w:r>
      <w:r w:rsidR="00240C16" w:rsidRPr="00240C16">
        <w:rPr>
          <w:rFonts w:ascii="Times New Roman" w:hAnsi="Times New Roman" w:cs="Times New Roman"/>
          <w:sz w:val="24"/>
        </w:rPr>
        <w:t>7</w:t>
      </w:r>
      <w:r w:rsidRPr="00240C16">
        <w:rPr>
          <w:rFonts w:ascii="Times New Roman" w:hAnsi="Times New Roman" w:cs="Times New Roman"/>
          <w:sz w:val="24"/>
        </w:rPr>
        <w:t xml:space="preserve"> месяцев 202</w:t>
      </w:r>
      <w:r w:rsidR="00240C16" w:rsidRPr="00240C16">
        <w:rPr>
          <w:rFonts w:ascii="Times New Roman" w:hAnsi="Times New Roman" w:cs="Times New Roman"/>
          <w:sz w:val="24"/>
        </w:rPr>
        <w:t>1</w:t>
      </w:r>
      <w:r w:rsidRPr="00240C16">
        <w:rPr>
          <w:rFonts w:ascii="Times New Roman" w:hAnsi="Times New Roman" w:cs="Times New Roman"/>
          <w:sz w:val="24"/>
        </w:rPr>
        <w:t xml:space="preserve"> года</w:t>
      </w:r>
      <w:r w:rsidR="00240C16">
        <w:rPr>
          <w:rFonts w:ascii="Times New Roman" w:hAnsi="Times New Roman" w:cs="Times New Roman"/>
          <w:sz w:val="24"/>
        </w:rPr>
        <w:t>;</w:t>
      </w:r>
    </w:p>
    <w:p w:rsidR="00240C16" w:rsidRPr="00240C16" w:rsidRDefault="00240C16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части безвозмездных поступлений в соответствии с проектом Закона Челябинской </w:t>
      </w:r>
      <w:r w:rsidRPr="00240C16">
        <w:rPr>
          <w:rFonts w:ascii="Times New Roman" w:hAnsi="Times New Roman" w:cs="Times New Roman"/>
          <w:sz w:val="24"/>
        </w:rPr>
        <w:t>области «Об областном бюджете на 2021 год и на плановый период 2022 и 2024 годов».</w:t>
      </w:r>
    </w:p>
    <w:p w:rsidR="00630C1B" w:rsidRPr="00A65570" w:rsidRDefault="00630C1B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40C16">
        <w:rPr>
          <w:rFonts w:ascii="Times New Roman" w:hAnsi="Times New Roman" w:cs="Times New Roman"/>
          <w:sz w:val="24"/>
        </w:rPr>
        <w:t>Общий объем доходов консолидированного бюджета Саткинского муниципального района на 202</w:t>
      </w:r>
      <w:r w:rsidR="00240C16" w:rsidRPr="00240C16">
        <w:rPr>
          <w:rFonts w:ascii="Times New Roman" w:hAnsi="Times New Roman" w:cs="Times New Roman"/>
          <w:sz w:val="24"/>
        </w:rPr>
        <w:t>2</w:t>
      </w:r>
      <w:r w:rsidRPr="00240C16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240C16" w:rsidRPr="00240C16">
        <w:rPr>
          <w:rFonts w:ascii="Times New Roman" w:hAnsi="Times New Roman" w:cs="Times New Roman"/>
          <w:sz w:val="24"/>
        </w:rPr>
        <w:t>3 и 2</w:t>
      </w:r>
      <w:r w:rsidRPr="00240C16">
        <w:rPr>
          <w:rFonts w:ascii="Times New Roman" w:hAnsi="Times New Roman" w:cs="Times New Roman"/>
          <w:sz w:val="24"/>
        </w:rPr>
        <w:t>02</w:t>
      </w:r>
      <w:r w:rsidR="00240C16" w:rsidRPr="00240C16">
        <w:rPr>
          <w:rFonts w:ascii="Times New Roman" w:hAnsi="Times New Roman" w:cs="Times New Roman"/>
          <w:sz w:val="24"/>
        </w:rPr>
        <w:t>4 годов</w:t>
      </w:r>
      <w:r w:rsidRPr="00240C16">
        <w:rPr>
          <w:rFonts w:ascii="Times New Roman" w:hAnsi="Times New Roman" w:cs="Times New Roman"/>
          <w:sz w:val="24"/>
        </w:rPr>
        <w:t xml:space="preserve"> включает в себя объем налог</w:t>
      </w:r>
      <w:r w:rsidR="00240C16" w:rsidRPr="00240C16">
        <w:rPr>
          <w:rFonts w:ascii="Times New Roman" w:hAnsi="Times New Roman" w:cs="Times New Roman"/>
          <w:sz w:val="24"/>
        </w:rPr>
        <w:t>овых и неналоговых доходов (2022</w:t>
      </w:r>
      <w:r w:rsidRPr="00240C16">
        <w:rPr>
          <w:rFonts w:ascii="Times New Roman" w:hAnsi="Times New Roman" w:cs="Times New Roman"/>
          <w:sz w:val="24"/>
        </w:rPr>
        <w:t xml:space="preserve"> год – 2</w:t>
      </w:r>
      <w:r w:rsidR="00240C16" w:rsidRPr="00240C16">
        <w:rPr>
          <w:rFonts w:ascii="Times New Roman" w:hAnsi="Times New Roman" w:cs="Times New Roman"/>
          <w:sz w:val="24"/>
        </w:rPr>
        <w:t>3,4 процентов</w:t>
      </w:r>
      <w:r w:rsidRPr="00240C16">
        <w:rPr>
          <w:rFonts w:ascii="Times New Roman" w:hAnsi="Times New Roman" w:cs="Times New Roman"/>
          <w:sz w:val="24"/>
        </w:rPr>
        <w:t>, 202</w:t>
      </w:r>
      <w:r w:rsidR="00240C16" w:rsidRPr="00240C16">
        <w:rPr>
          <w:rFonts w:ascii="Times New Roman" w:hAnsi="Times New Roman" w:cs="Times New Roman"/>
          <w:sz w:val="24"/>
        </w:rPr>
        <w:t>3 год – 26,6</w:t>
      </w:r>
      <w:r w:rsidRPr="00240C16">
        <w:rPr>
          <w:rFonts w:ascii="Times New Roman" w:hAnsi="Times New Roman" w:cs="Times New Roman"/>
          <w:sz w:val="24"/>
        </w:rPr>
        <w:t xml:space="preserve"> процент</w:t>
      </w:r>
      <w:r w:rsidR="00240C16" w:rsidRPr="00240C16">
        <w:rPr>
          <w:rFonts w:ascii="Times New Roman" w:hAnsi="Times New Roman" w:cs="Times New Roman"/>
          <w:sz w:val="24"/>
        </w:rPr>
        <w:t>ов</w:t>
      </w:r>
      <w:r w:rsidRPr="00240C16">
        <w:rPr>
          <w:rFonts w:ascii="Times New Roman" w:hAnsi="Times New Roman" w:cs="Times New Roman"/>
          <w:sz w:val="24"/>
        </w:rPr>
        <w:t>, 202</w:t>
      </w:r>
      <w:r w:rsidR="00240C16" w:rsidRPr="00240C16">
        <w:rPr>
          <w:rFonts w:ascii="Times New Roman" w:hAnsi="Times New Roman" w:cs="Times New Roman"/>
          <w:sz w:val="24"/>
        </w:rPr>
        <w:t>4</w:t>
      </w:r>
      <w:r w:rsidRPr="00240C16">
        <w:rPr>
          <w:rFonts w:ascii="Times New Roman" w:hAnsi="Times New Roman" w:cs="Times New Roman"/>
          <w:sz w:val="24"/>
        </w:rPr>
        <w:t xml:space="preserve"> год – </w:t>
      </w:r>
      <w:r w:rsidR="00240C16" w:rsidRPr="00240C16">
        <w:rPr>
          <w:rFonts w:ascii="Times New Roman" w:hAnsi="Times New Roman" w:cs="Times New Roman"/>
          <w:sz w:val="24"/>
        </w:rPr>
        <w:t>100,0</w:t>
      </w:r>
      <w:r w:rsidRPr="00240C16">
        <w:rPr>
          <w:rFonts w:ascii="Times New Roman" w:hAnsi="Times New Roman" w:cs="Times New Roman"/>
          <w:sz w:val="24"/>
        </w:rPr>
        <w:t xml:space="preserve"> процентов в общей сумме доходов</w:t>
      </w:r>
      <w:r w:rsidRPr="00A65570">
        <w:rPr>
          <w:rFonts w:ascii="Times New Roman" w:hAnsi="Times New Roman" w:cs="Times New Roman"/>
          <w:sz w:val="24"/>
        </w:rPr>
        <w:t>) и безвозмездных поступлений от других бюджетов бюджетной системы Российской Федерации (202</w:t>
      </w:r>
      <w:r w:rsidR="00A65570" w:rsidRPr="00A65570">
        <w:rPr>
          <w:rFonts w:ascii="Times New Roman" w:hAnsi="Times New Roman" w:cs="Times New Roman"/>
          <w:sz w:val="24"/>
        </w:rPr>
        <w:t>2</w:t>
      </w:r>
      <w:r w:rsidRPr="00A65570">
        <w:rPr>
          <w:rFonts w:ascii="Times New Roman" w:hAnsi="Times New Roman" w:cs="Times New Roman"/>
          <w:sz w:val="24"/>
        </w:rPr>
        <w:t xml:space="preserve"> год – 7</w:t>
      </w:r>
      <w:r w:rsidR="00A65570" w:rsidRPr="00A65570">
        <w:rPr>
          <w:rFonts w:ascii="Times New Roman" w:hAnsi="Times New Roman" w:cs="Times New Roman"/>
          <w:sz w:val="24"/>
        </w:rPr>
        <w:t>6,6</w:t>
      </w:r>
      <w:r w:rsidRPr="00A65570">
        <w:rPr>
          <w:rFonts w:ascii="Times New Roman" w:hAnsi="Times New Roman" w:cs="Times New Roman"/>
          <w:sz w:val="24"/>
        </w:rPr>
        <w:t xml:space="preserve"> процента, 202</w:t>
      </w:r>
      <w:r w:rsidR="00A65570" w:rsidRPr="00A65570">
        <w:rPr>
          <w:rFonts w:ascii="Times New Roman" w:hAnsi="Times New Roman" w:cs="Times New Roman"/>
          <w:sz w:val="24"/>
        </w:rPr>
        <w:t>3</w:t>
      </w:r>
      <w:r w:rsidRPr="00A65570">
        <w:rPr>
          <w:rFonts w:ascii="Times New Roman" w:hAnsi="Times New Roman" w:cs="Times New Roman"/>
          <w:sz w:val="24"/>
        </w:rPr>
        <w:t xml:space="preserve"> год – </w:t>
      </w:r>
      <w:r w:rsidR="00A65570" w:rsidRPr="00A65570">
        <w:rPr>
          <w:rFonts w:ascii="Times New Roman" w:hAnsi="Times New Roman" w:cs="Times New Roman"/>
          <w:sz w:val="24"/>
        </w:rPr>
        <w:t>73,4</w:t>
      </w:r>
      <w:r w:rsidRPr="00A65570">
        <w:rPr>
          <w:rFonts w:ascii="Times New Roman" w:hAnsi="Times New Roman" w:cs="Times New Roman"/>
          <w:sz w:val="24"/>
        </w:rPr>
        <w:t xml:space="preserve"> процента, 202</w:t>
      </w:r>
      <w:r w:rsidR="00A65570" w:rsidRPr="00A65570">
        <w:rPr>
          <w:rFonts w:ascii="Times New Roman" w:hAnsi="Times New Roman" w:cs="Times New Roman"/>
          <w:sz w:val="24"/>
        </w:rPr>
        <w:t>4</w:t>
      </w:r>
      <w:r w:rsidRPr="00A65570">
        <w:rPr>
          <w:rFonts w:ascii="Times New Roman" w:hAnsi="Times New Roman" w:cs="Times New Roman"/>
          <w:sz w:val="24"/>
        </w:rPr>
        <w:t xml:space="preserve"> год – </w:t>
      </w:r>
      <w:r w:rsidR="00A65570" w:rsidRPr="00A65570">
        <w:rPr>
          <w:rFonts w:ascii="Times New Roman" w:hAnsi="Times New Roman" w:cs="Times New Roman"/>
          <w:sz w:val="24"/>
        </w:rPr>
        <w:t>0,0</w:t>
      </w:r>
      <w:r w:rsidRPr="00A65570">
        <w:rPr>
          <w:rFonts w:ascii="Times New Roman" w:hAnsi="Times New Roman" w:cs="Times New Roman"/>
          <w:sz w:val="24"/>
        </w:rPr>
        <w:t xml:space="preserve"> процентов в общей сумме доходов).</w:t>
      </w:r>
    </w:p>
    <w:p w:rsidR="00630C1B" w:rsidRPr="00864FD1" w:rsidRDefault="00630C1B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A65570">
        <w:rPr>
          <w:rFonts w:ascii="Times New Roman" w:hAnsi="Times New Roman" w:cs="Times New Roman"/>
          <w:sz w:val="24"/>
        </w:rPr>
        <w:t>В структуре налоговых и неналоговых доходов консолидированного бюджета наибольшую долю составляют налоговые доходы (202</w:t>
      </w:r>
      <w:r w:rsidR="00A65570" w:rsidRPr="00A65570">
        <w:rPr>
          <w:rFonts w:ascii="Times New Roman" w:hAnsi="Times New Roman" w:cs="Times New Roman"/>
          <w:sz w:val="24"/>
        </w:rPr>
        <w:t>2</w:t>
      </w:r>
      <w:r w:rsidRPr="00A65570">
        <w:rPr>
          <w:rFonts w:ascii="Times New Roman" w:hAnsi="Times New Roman" w:cs="Times New Roman"/>
          <w:sz w:val="24"/>
        </w:rPr>
        <w:t xml:space="preserve"> год – 8</w:t>
      </w:r>
      <w:r w:rsidR="00A65570" w:rsidRPr="00A65570">
        <w:rPr>
          <w:rFonts w:ascii="Times New Roman" w:hAnsi="Times New Roman" w:cs="Times New Roman"/>
          <w:sz w:val="24"/>
        </w:rPr>
        <w:t>5,9</w:t>
      </w:r>
      <w:r w:rsidRPr="00A65570">
        <w:rPr>
          <w:rFonts w:ascii="Times New Roman" w:hAnsi="Times New Roman" w:cs="Times New Roman"/>
          <w:sz w:val="24"/>
        </w:rPr>
        <w:t xml:space="preserve"> процента, 202</w:t>
      </w:r>
      <w:r w:rsidR="00A65570" w:rsidRPr="00A65570">
        <w:rPr>
          <w:rFonts w:ascii="Times New Roman" w:hAnsi="Times New Roman" w:cs="Times New Roman"/>
          <w:sz w:val="24"/>
        </w:rPr>
        <w:t>3</w:t>
      </w:r>
      <w:r w:rsidRPr="00A65570">
        <w:rPr>
          <w:rFonts w:ascii="Times New Roman" w:hAnsi="Times New Roman" w:cs="Times New Roman"/>
          <w:sz w:val="24"/>
        </w:rPr>
        <w:t xml:space="preserve"> год – 8</w:t>
      </w:r>
      <w:r w:rsidR="00A65570" w:rsidRPr="00A65570">
        <w:rPr>
          <w:rFonts w:ascii="Times New Roman" w:hAnsi="Times New Roman" w:cs="Times New Roman"/>
          <w:sz w:val="24"/>
        </w:rPr>
        <w:t>6,3</w:t>
      </w:r>
      <w:r w:rsidRPr="00A65570">
        <w:rPr>
          <w:rFonts w:ascii="Times New Roman" w:hAnsi="Times New Roman" w:cs="Times New Roman"/>
          <w:sz w:val="24"/>
        </w:rPr>
        <w:t xml:space="preserve"> процент</w:t>
      </w:r>
      <w:r w:rsidR="00A65570" w:rsidRPr="00A65570">
        <w:rPr>
          <w:rFonts w:ascii="Times New Roman" w:hAnsi="Times New Roman" w:cs="Times New Roman"/>
          <w:sz w:val="24"/>
        </w:rPr>
        <w:t>ов</w:t>
      </w:r>
      <w:r w:rsidRPr="00A65570">
        <w:rPr>
          <w:rFonts w:ascii="Times New Roman" w:hAnsi="Times New Roman" w:cs="Times New Roman"/>
          <w:sz w:val="24"/>
        </w:rPr>
        <w:t>, 202</w:t>
      </w:r>
      <w:r w:rsidR="00A65570" w:rsidRPr="00A65570">
        <w:rPr>
          <w:rFonts w:ascii="Times New Roman" w:hAnsi="Times New Roman" w:cs="Times New Roman"/>
          <w:sz w:val="24"/>
        </w:rPr>
        <w:t>4</w:t>
      </w:r>
      <w:r w:rsidRPr="00A65570">
        <w:rPr>
          <w:rFonts w:ascii="Times New Roman" w:hAnsi="Times New Roman" w:cs="Times New Roman"/>
          <w:sz w:val="24"/>
        </w:rPr>
        <w:t xml:space="preserve"> год – 8</w:t>
      </w:r>
      <w:r w:rsidR="00A65570" w:rsidRPr="00A65570">
        <w:rPr>
          <w:rFonts w:ascii="Times New Roman" w:hAnsi="Times New Roman" w:cs="Times New Roman"/>
          <w:sz w:val="24"/>
        </w:rPr>
        <w:t>6,5</w:t>
      </w:r>
      <w:r w:rsidRPr="00A65570">
        <w:rPr>
          <w:rFonts w:ascii="Times New Roman" w:hAnsi="Times New Roman" w:cs="Times New Roman"/>
          <w:sz w:val="24"/>
        </w:rPr>
        <w:t xml:space="preserve"> процента от общей суммы налоговых и неналоговых доходов), значительная часть которых приходится на налог на доходы физических лиц (в 2021 году – </w:t>
      </w:r>
      <w:r w:rsidR="00A65570" w:rsidRPr="00A65570">
        <w:rPr>
          <w:rFonts w:ascii="Times New Roman" w:hAnsi="Times New Roman" w:cs="Times New Roman"/>
          <w:sz w:val="24"/>
        </w:rPr>
        <w:t>77,0</w:t>
      </w:r>
      <w:r w:rsidRPr="00A65570">
        <w:rPr>
          <w:rFonts w:ascii="Times New Roman" w:hAnsi="Times New Roman" w:cs="Times New Roman"/>
          <w:sz w:val="24"/>
        </w:rPr>
        <w:t xml:space="preserve"> процента, в 2022 году </w:t>
      </w:r>
      <w:r w:rsidRPr="00D03B10">
        <w:rPr>
          <w:rFonts w:ascii="Times New Roman" w:hAnsi="Times New Roman" w:cs="Times New Roman"/>
          <w:sz w:val="24"/>
        </w:rPr>
        <w:t xml:space="preserve">– </w:t>
      </w:r>
      <w:r w:rsidR="00A65570" w:rsidRPr="00D03B10">
        <w:rPr>
          <w:rFonts w:ascii="Times New Roman" w:hAnsi="Times New Roman" w:cs="Times New Roman"/>
          <w:sz w:val="24"/>
        </w:rPr>
        <w:t>77,5</w:t>
      </w:r>
      <w:r w:rsidRPr="00D03B10">
        <w:rPr>
          <w:rFonts w:ascii="Times New Roman" w:hAnsi="Times New Roman" w:cs="Times New Roman"/>
          <w:sz w:val="24"/>
        </w:rPr>
        <w:t xml:space="preserve"> процентов, в 2023 году – </w:t>
      </w:r>
      <w:r w:rsidR="00A65570" w:rsidRPr="00D03B10">
        <w:rPr>
          <w:rFonts w:ascii="Times New Roman" w:hAnsi="Times New Roman" w:cs="Times New Roman"/>
          <w:sz w:val="24"/>
        </w:rPr>
        <w:t>77,8</w:t>
      </w:r>
      <w:r w:rsidRPr="00D03B10">
        <w:rPr>
          <w:rFonts w:ascii="Times New Roman" w:hAnsi="Times New Roman" w:cs="Times New Roman"/>
          <w:sz w:val="24"/>
        </w:rPr>
        <w:t xml:space="preserve"> </w:t>
      </w:r>
      <w:r w:rsidR="00A65570" w:rsidRPr="00D03B10">
        <w:rPr>
          <w:rFonts w:ascii="Times New Roman" w:hAnsi="Times New Roman" w:cs="Times New Roman"/>
          <w:sz w:val="24"/>
        </w:rPr>
        <w:t>процента, в 2024 году – 78,3 процента в налоговых</w:t>
      </w:r>
      <w:r w:rsidRPr="00D03B10">
        <w:rPr>
          <w:rFonts w:ascii="Times New Roman" w:hAnsi="Times New Roman" w:cs="Times New Roman"/>
          <w:sz w:val="24"/>
        </w:rPr>
        <w:t xml:space="preserve"> доход</w:t>
      </w:r>
      <w:r w:rsidR="00A65570" w:rsidRPr="00D03B10">
        <w:rPr>
          <w:rFonts w:ascii="Times New Roman" w:hAnsi="Times New Roman" w:cs="Times New Roman"/>
          <w:sz w:val="24"/>
        </w:rPr>
        <w:t>ах</w:t>
      </w:r>
      <w:r w:rsidRPr="00D03B10">
        <w:rPr>
          <w:rFonts w:ascii="Times New Roman" w:hAnsi="Times New Roman" w:cs="Times New Roman"/>
          <w:sz w:val="24"/>
        </w:rPr>
        <w:t>). Основная доля неналоговых доходов приходится на доходы от использования имущества, находящегося в муниципальной собственности (в 202</w:t>
      </w:r>
      <w:r w:rsidR="00D03B10" w:rsidRPr="00D03B10">
        <w:rPr>
          <w:rFonts w:ascii="Times New Roman" w:hAnsi="Times New Roman" w:cs="Times New Roman"/>
          <w:sz w:val="24"/>
        </w:rPr>
        <w:t>2</w:t>
      </w:r>
      <w:r w:rsidRPr="00D03B10">
        <w:rPr>
          <w:rFonts w:ascii="Times New Roman" w:hAnsi="Times New Roman" w:cs="Times New Roman"/>
          <w:sz w:val="24"/>
        </w:rPr>
        <w:t xml:space="preserve"> году -  </w:t>
      </w:r>
      <w:r w:rsidR="00D03B10" w:rsidRPr="00D03B10">
        <w:rPr>
          <w:rFonts w:ascii="Times New Roman" w:hAnsi="Times New Roman" w:cs="Times New Roman"/>
          <w:sz w:val="24"/>
        </w:rPr>
        <w:t>55,0</w:t>
      </w:r>
      <w:r w:rsidRPr="00D03B10">
        <w:rPr>
          <w:rFonts w:ascii="Times New Roman" w:hAnsi="Times New Roman" w:cs="Times New Roman"/>
          <w:sz w:val="24"/>
        </w:rPr>
        <w:t xml:space="preserve"> процента, в 202</w:t>
      </w:r>
      <w:r w:rsidR="00D03B10" w:rsidRPr="00D03B10">
        <w:rPr>
          <w:rFonts w:ascii="Times New Roman" w:hAnsi="Times New Roman" w:cs="Times New Roman"/>
          <w:sz w:val="24"/>
        </w:rPr>
        <w:t>3</w:t>
      </w:r>
      <w:r w:rsidRPr="00D03B10">
        <w:rPr>
          <w:rFonts w:ascii="Times New Roman" w:hAnsi="Times New Roman" w:cs="Times New Roman"/>
          <w:sz w:val="24"/>
        </w:rPr>
        <w:t xml:space="preserve"> году -  </w:t>
      </w:r>
      <w:r w:rsidR="00D03B10" w:rsidRPr="00D03B10">
        <w:rPr>
          <w:rFonts w:ascii="Times New Roman" w:hAnsi="Times New Roman" w:cs="Times New Roman"/>
          <w:sz w:val="24"/>
        </w:rPr>
        <w:t>55,1</w:t>
      </w:r>
      <w:r w:rsidRPr="00D03B10">
        <w:rPr>
          <w:rFonts w:ascii="Times New Roman" w:hAnsi="Times New Roman" w:cs="Times New Roman"/>
          <w:sz w:val="24"/>
        </w:rPr>
        <w:t xml:space="preserve"> процента, в 202</w:t>
      </w:r>
      <w:r w:rsidR="00D03B10" w:rsidRPr="00D03B10">
        <w:rPr>
          <w:rFonts w:ascii="Times New Roman" w:hAnsi="Times New Roman" w:cs="Times New Roman"/>
          <w:sz w:val="24"/>
        </w:rPr>
        <w:t>4</w:t>
      </w:r>
      <w:r w:rsidRPr="00D03B10">
        <w:rPr>
          <w:rFonts w:ascii="Times New Roman" w:hAnsi="Times New Roman" w:cs="Times New Roman"/>
          <w:sz w:val="24"/>
        </w:rPr>
        <w:t xml:space="preserve"> году -  </w:t>
      </w:r>
      <w:r w:rsidR="00D03B10" w:rsidRPr="00D03B10">
        <w:rPr>
          <w:rFonts w:ascii="Times New Roman" w:hAnsi="Times New Roman" w:cs="Times New Roman"/>
          <w:sz w:val="24"/>
        </w:rPr>
        <w:t>54,8</w:t>
      </w:r>
      <w:r w:rsidRPr="00D03B10">
        <w:rPr>
          <w:rFonts w:ascii="Times New Roman" w:hAnsi="Times New Roman" w:cs="Times New Roman"/>
          <w:sz w:val="24"/>
        </w:rPr>
        <w:t xml:space="preserve"> процента неналоговых доходов).</w:t>
      </w:r>
    </w:p>
    <w:p w:rsidR="00630C1B" w:rsidRPr="005E0930" w:rsidRDefault="00630C1B" w:rsidP="00630C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E0930">
        <w:rPr>
          <w:rFonts w:ascii="Times New Roman" w:hAnsi="Times New Roman" w:cs="Times New Roman"/>
          <w:sz w:val="24"/>
        </w:rPr>
        <w:t>Снижение прогнозных показателей в части налоговых и неналоговых доходов в 202</w:t>
      </w:r>
      <w:r w:rsidR="005E0930" w:rsidRPr="005E0930">
        <w:rPr>
          <w:rFonts w:ascii="Times New Roman" w:hAnsi="Times New Roman" w:cs="Times New Roman"/>
          <w:sz w:val="24"/>
        </w:rPr>
        <w:t>2</w:t>
      </w:r>
      <w:r w:rsidRPr="005E0930">
        <w:rPr>
          <w:rFonts w:ascii="Times New Roman" w:hAnsi="Times New Roman" w:cs="Times New Roman"/>
          <w:sz w:val="24"/>
        </w:rPr>
        <w:t xml:space="preserve"> году и в плановом периоде 202</w:t>
      </w:r>
      <w:r w:rsidR="005E0930" w:rsidRPr="005E0930">
        <w:rPr>
          <w:rFonts w:ascii="Times New Roman" w:hAnsi="Times New Roman" w:cs="Times New Roman"/>
          <w:sz w:val="24"/>
        </w:rPr>
        <w:t xml:space="preserve">3 и </w:t>
      </w:r>
      <w:r w:rsidRPr="005E0930">
        <w:rPr>
          <w:rFonts w:ascii="Times New Roman" w:hAnsi="Times New Roman" w:cs="Times New Roman"/>
          <w:sz w:val="24"/>
        </w:rPr>
        <w:t>202</w:t>
      </w:r>
      <w:r w:rsidR="005E0930" w:rsidRPr="005E0930">
        <w:rPr>
          <w:rFonts w:ascii="Times New Roman" w:hAnsi="Times New Roman" w:cs="Times New Roman"/>
          <w:sz w:val="24"/>
        </w:rPr>
        <w:t>4</w:t>
      </w:r>
      <w:r w:rsidRPr="005E0930">
        <w:rPr>
          <w:rFonts w:ascii="Times New Roman" w:hAnsi="Times New Roman" w:cs="Times New Roman"/>
          <w:sz w:val="24"/>
        </w:rPr>
        <w:t xml:space="preserve"> годов по отношению к оценке 202</w:t>
      </w:r>
      <w:r w:rsidR="005E0930" w:rsidRPr="005E0930">
        <w:rPr>
          <w:rFonts w:ascii="Times New Roman" w:hAnsi="Times New Roman" w:cs="Times New Roman"/>
          <w:sz w:val="24"/>
        </w:rPr>
        <w:t>1</w:t>
      </w:r>
      <w:r w:rsidRPr="005E0930">
        <w:rPr>
          <w:rFonts w:ascii="Times New Roman" w:hAnsi="Times New Roman" w:cs="Times New Roman"/>
          <w:sz w:val="24"/>
        </w:rPr>
        <w:t xml:space="preserve"> го</w:t>
      </w:r>
      <w:r w:rsidR="005E0930" w:rsidRPr="005E0930">
        <w:rPr>
          <w:rFonts w:ascii="Times New Roman" w:hAnsi="Times New Roman" w:cs="Times New Roman"/>
          <w:sz w:val="24"/>
        </w:rPr>
        <w:t>да, главным образом обусловлено</w:t>
      </w:r>
      <w:r w:rsidRPr="005E0930">
        <w:rPr>
          <w:rFonts w:ascii="Times New Roman" w:hAnsi="Times New Roman" w:cs="Times New Roman"/>
          <w:sz w:val="24"/>
        </w:rPr>
        <w:t xml:space="preserve"> погашением задолженности прошлых лет по налогу на доходы физических лиц</w:t>
      </w:r>
      <w:r w:rsidR="005E0930" w:rsidRPr="005E0930">
        <w:rPr>
          <w:rFonts w:ascii="Times New Roman" w:hAnsi="Times New Roman" w:cs="Times New Roman"/>
          <w:sz w:val="24"/>
        </w:rPr>
        <w:t xml:space="preserve"> и по арендной плате за земельные участки.</w:t>
      </w:r>
    </w:p>
    <w:p w:rsidR="00630C1B" w:rsidRPr="001D7343" w:rsidRDefault="005E0930" w:rsidP="00630C1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343">
        <w:rPr>
          <w:rFonts w:ascii="Times New Roman" w:hAnsi="Times New Roman" w:cs="Times New Roman"/>
          <w:sz w:val="24"/>
        </w:rPr>
        <w:t xml:space="preserve">Показатели </w:t>
      </w:r>
      <w:r w:rsidR="00630C1B" w:rsidRPr="001D7343">
        <w:rPr>
          <w:rFonts w:ascii="Times New Roman" w:hAnsi="Times New Roman" w:cs="Times New Roman"/>
          <w:sz w:val="24"/>
        </w:rPr>
        <w:t>консолидированного бюджета Саткинского муниципального района по расходам на 202</w:t>
      </w:r>
      <w:r w:rsidRPr="001D7343">
        <w:rPr>
          <w:rFonts w:ascii="Times New Roman" w:hAnsi="Times New Roman" w:cs="Times New Roman"/>
          <w:sz w:val="24"/>
        </w:rPr>
        <w:t>2</w:t>
      </w:r>
      <w:r w:rsidR="00630C1B" w:rsidRPr="001D7343">
        <w:rPr>
          <w:rFonts w:ascii="Times New Roman" w:hAnsi="Times New Roman" w:cs="Times New Roman"/>
          <w:sz w:val="24"/>
        </w:rPr>
        <w:t xml:space="preserve"> и плановый период 202</w:t>
      </w:r>
      <w:r w:rsidRPr="001D7343">
        <w:rPr>
          <w:rFonts w:ascii="Times New Roman" w:hAnsi="Times New Roman" w:cs="Times New Roman"/>
          <w:sz w:val="24"/>
        </w:rPr>
        <w:t>3</w:t>
      </w:r>
      <w:r w:rsidR="00630C1B" w:rsidRPr="001D7343">
        <w:rPr>
          <w:rFonts w:ascii="Times New Roman" w:hAnsi="Times New Roman" w:cs="Times New Roman"/>
          <w:sz w:val="24"/>
        </w:rPr>
        <w:t xml:space="preserve"> и 202</w:t>
      </w:r>
      <w:r w:rsidRPr="001D7343">
        <w:rPr>
          <w:rFonts w:ascii="Times New Roman" w:hAnsi="Times New Roman" w:cs="Times New Roman"/>
          <w:sz w:val="24"/>
        </w:rPr>
        <w:t>4</w:t>
      </w:r>
      <w:r w:rsidR="00630C1B" w:rsidRPr="001D7343">
        <w:rPr>
          <w:rFonts w:ascii="Times New Roman" w:hAnsi="Times New Roman" w:cs="Times New Roman"/>
          <w:sz w:val="24"/>
        </w:rPr>
        <w:t xml:space="preserve"> годов</w:t>
      </w:r>
      <w:r w:rsidR="00630C1B" w:rsidRPr="001D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7343" w:rsidRPr="001D73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составлены</w:t>
      </w:r>
      <w:r w:rsidR="00630C1B" w:rsidRPr="001D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C1B" w:rsidRPr="001D7343">
        <w:rPr>
          <w:rFonts w:ascii="Times New Roman" w:hAnsi="Times New Roman" w:cs="Times New Roman"/>
          <w:sz w:val="24"/>
        </w:rPr>
        <w:t>с учетом прогнозируемых поступлений по налоговым и неналоговым доходам и планируемых безвозмездных поступлений, предусмотренных Законом Челябинской области «Об областном бюджете на 202</w:t>
      </w:r>
      <w:r w:rsidR="001D7343" w:rsidRPr="001D7343">
        <w:rPr>
          <w:rFonts w:ascii="Times New Roman" w:hAnsi="Times New Roman" w:cs="Times New Roman"/>
          <w:sz w:val="24"/>
        </w:rPr>
        <w:t>1</w:t>
      </w:r>
      <w:r w:rsidR="00630C1B" w:rsidRPr="001D7343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D7343" w:rsidRPr="001D7343">
        <w:rPr>
          <w:rFonts w:ascii="Times New Roman" w:hAnsi="Times New Roman" w:cs="Times New Roman"/>
          <w:sz w:val="24"/>
        </w:rPr>
        <w:t>2</w:t>
      </w:r>
      <w:r w:rsidR="00630C1B" w:rsidRPr="001D7343">
        <w:rPr>
          <w:rFonts w:ascii="Times New Roman" w:hAnsi="Times New Roman" w:cs="Times New Roman"/>
          <w:sz w:val="24"/>
        </w:rPr>
        <w:t xml:space="preserve"> </w:t>
      </w:r>
      <w:r w:rsidR="00630C1B" w:rsidRPr="001D7343">
        <w:rPr>
          <w:rFonts w:ascii="Times New Roman" w:hAnsi="Times New Roman" w:cs="Times New Roman"/>
          <w:sz w:val="24"/>
          <w:szCs w:val="24"/>
        </w:rPr>
        <w:t>и 202</w:t>
      </w:r>
      <w:r w:rsidR="001D7343" w:rsidRPr="001D7343">
        <w:rPr>
          <w:rFonts w:ascii="Times New Roman" w:hAnsi="Times New Roman" w:cs="Times New Roman"/>
          <w:sz w:val="24"/>
          <w:szCs w:val="24"/>
        </w:rPr>
        <w:t>3</w:t>
      </w:r>
      <w:r w:rsidR="00630C1B" w:rsidRPr="001D7343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D7343" w:rsidRPr="001D73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0C1B" w:rsidRPr="001D7343" w:rsidRDefault="00630C1B" w:rsidP="00630C1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343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1D7343" w:rsidRPr="001D734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7343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1D7343" w:rsidRPr="001D734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7343">
        <w:rPr>
          <w:rFonts w:ascii="Times New Roman" w:eastAsia="Times New Roman" w:hAnsi="Times New Roman" w:cs="Times New Roman"/>
          <w:sz w:val="24"/>
          <w:szCs w:val="24"/>
        </w:rPr>
        <w:t xml:space="preserve"> годах показатели по расходам запланированы </w:t>
      </w:r>
      <w:r w:rsidR="001D7343" w:rsidRPr="001D7343">
        <w:rPr>
          <w:rFonts w:ascii="Times New Roman" w:eastAsia="Times New Roman" w:hAnsi="Times New Roman" w:cs="Times New Roman"/>
          <w:sz w:val="24"/>
          <w:szCs w:val="24"/>
        </w:rPr>
        <w:t>с учетом</w:t>
      </w:r>
      <w:r w:rsidRPr="001D734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30C1B" w:rsidRPr="00C13BA5" w:rsidRDefault="00630C1B" w:rsidP="00C13BA5">
      <w:pPr>
        <w:pStyle w:val="a7"/>
        <w:numPr>
          <w:ilvl w:val="0"/>
          <w:numId w:val="39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BA5">
        <w:rPr>
          <w:rFonts w:ascii="Times New Roman" w:eastAsia="Times New Roman" w:hAnsi="Times New Roman" w:cs="Times New Roman"/>
          <w:sz w:val="24"/>
          <w:szCs w:val="24"/>
        </w:rPr>
        <w:t>выполнения действующих расходных обязательств;</w:t>
      </w:r>
    </w:p>
    <w:p w:rsidR="00C13BA5" w:rsidRPr="00C13BA5" w:rsidRDefault="00C13BA5" w:rsidP="00C13BA5">
      <w:pPr>
        <w:pStyle w:val="a7"/>
        <w:numPr>
          <w:ilvl w:val="0"/>
          <w:numId w:val="3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BA5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достижения целей и реализации мероприятий, предусмотренных Указами Президента Российской Федерации Федерального закона «О минимальном размере оплаты труда»;</w:t>
      </w:r>
    </w:p>
    <w:p w:rsidR="00630C1B" w:rsidRPr="00C13BA5" w:rsidRDefault="00630C1B" w:rsidP="00630C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BA5">
        <w:rPr>
          <w:rFonts w:ascii="Times New Roman" w:hAnsi="Times New Roman" w:cs="Times New Roman"/>
          <w:sz w:val="24"/>
          <w:szCs w:val="24"/>
        </w:rPr>
        <w:t>3) достижения целевых индикаторов, предусмотренных муниципальными программами и соглашениями с органами исполнительной власти Челябинской области о предоставлении целевых межбюджетных трансфертов из областного бюджета;</w:t>
      </w:r>
    </w:p>
    <w:p w:rsidR="00630C1B" w:rsidRPr="00C13BA5" w:rsidRDefault="00630C1B" w:rsidP="00630C1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3BA5">
        <w:rPr>
          <w:rFonts w:ascii="Times New Roman" w:eastAsia="Times New Roman" w:hAnsi="Times New Roman" w:cs="Times New Roman"/>
          <w:sz w:val="24"/>
          <w:szCs w:val="24"/>
        </w:rPr>
        <w:t>4) полного финансового обеспечения публичных и публичных нормативных обязательств, а также первоочередных затрат на обеспечение деятельности муниципаль</w:t>
      </w:r>
      <w:r w:rsidR="00C13BA5" w:rsidRPr="00C13BA5">
        <w:rPr>
          <w:rFonts w:ascii="Times New Roman" w:eastAsia="Times New Roman" w:hAnsi="Times New Roman" w:cs="Times New Roman"/>
          <w:sz w:val="24"/>
          <w:szCs w:val="24"/>
        </w:rPr>
        <w:t>ных учреждений</w:t>
      </w:r>
      <w:r w:rsidRPr="00C13B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0C1B" w:rsidRPr="00C13BA5" w:rsidRDefault="00630C1B" w:rsidP="00630C1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13BA5">
        <w:rPr>
          <w:rFonts w:ascii="Times New Roman" w:hAnsi="Times New Roman" w:cs="Times New Roman"/>
          <w:sz w:val="24"/>
        </w:rPr>
        <w:t xml:space="preserve">расходах консолидированного бюджета </w:t>
      </w:r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C13BA5"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предусмотрено </w:t>
      </w:r>
      <w:bookmarkStart w:id="0" w:name="_Hlk33014195"/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только действующих расходных обязательств</w:t>
      </w:r>
      <w:bookmarkEnd w:id="0"/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в прогнозах по доходам в 202</w:t>
      </w:r>
      <w:r w:rsidR="00C13BA5"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отсутствует информация по целевым межбюджетным трансфертам из вышестоящих уровней бюджетов.</w:t>
      </w:r>
    </w:p>
    <w:p w:rsidR="00630C1B" w:rsidRPr="00C13BA5" w:rsidRDefault="00630C1B" w:rsidP="00630C1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64FD1">
        <w:rPr>
          <w:rFonts w:ascii="Times New Roman" w:hAnsi="Times New Roman" w:cs="Times New Roman"/>
          <w:color w:val="FF0000"/>
          <w:sz w:val="24"/>
        </w:rPr>
        <w:tab/>
      </w:r>
      <w:r w:rsidRPr="00C13BA5">
        <w:rPr>
          <w:rFonts w:ascii="Times New Roman" w:hAnsi="Times New Roman" w:cs="Times New Roman"/>
          <w:sz w:val="24"/>
        </w:rPr>
        <w:t xml:space="preserve">В </w:t>
      </w:r>
      <w:bookmarkStart w:id="1" w:name="_Hlk47436142"/>
      <w:r w:rsidRPr="00C13BA5">
        <w:rPr>
          <w:rFonts w:ascii="Times New Roman" w:hAnsi="Times New Roman" w:cs="Times New Roman"/>
          <w:sz w:val="24"/>
        </w:rPr>
        <w:t xml:space="preserve">расходах консолидированного бюджета </w:t>
      </w:r>
      <w:bookmarkEnd w:id="1"/>
      <w:r w:rsidRPr="00C13BA5">
        <w:rPr>
          <w:rFonts w:ascii="Times New Roman" w:hAnsi="Times New Roman" w:cs="Times New Roman"/>
          <w:sz w:val="24"/>
        </w:rPr>
        <w:t>в 202</w:t>
      </w:r>
      <w:r w:rsidR="00C13BA5" w:rsidRPr="00C13BA5">
        <w:rPr>
          <w:rFonts w:ascii="Times New Roman" w:hAnsi="Times New Roman" w:cs="Times New Roman"/>
          <w:sz w:val="24"/>
        </w:rPr>
        <w:t>2</w:t>
      </w:r>
      <w:r w:rsidRPr="00C13BA5">
        <w:rPr>
          <w:rFonts w:ascii="Times New Roman" w:hAnsi="Times New Roman" w:cs="Times New Roman"/>
          <w:sz w:val="24"/>
        </w:rPr>
        <w:t xml:space="preserve"> году и плановом периоде 202</w:t>
      </w:r>
      <w:r w:rsidR="00C13BA5" w:rsidRPr="00C13BA5">
        <w:rPr>
          <w:rFonts w:ascii="Times New Roman" w:hAnsi="Times New Roman" w:cs="Times New Roman"/>
          <w:sz w:val="24"/>
        </w:rPr>
        <w:t>3 и 2024</w:t>
      </w:r>
      <w:r w:rsidRPr="00C13BA5">
        <w:rPr>
          <w:rFonts w:ascii="Times New Roman" w:hAnsi="Times New Roman" w:cs="Times New Roman"/>
          <w:sz w:val="24"/>
        </w:rPr>
        <w:t xml:space="preserve"> годов наибольшая доля приходится на социальную сферу: образование, социальная политика и спорт (202</w:t>
      </w:r>
      <w:r w:rsidR="00C13BA5" w:rsidRPr="00C13BA5">
        <w:rPr>
          <w:rFonts w:ascii="Times New Roman" w:hAnsi="Times New Roman" w:cs="Times New Roman"/>
          <w:sz w:val="24"/>
        </w:rPr>
        <w:t>2</w:t>
      </w:r>
      <w:r w:rsidRPr="00C13BA5">
        <w:rPr>
          <w:rFonts w:ascii="Times New Roman" w:hAnsi="Times New Roman" w:cs="Times New Roman"/>
          <w:sz w:val="24"/>
        </w:rPr>
        <w:t xml:space="preserve"> год – 7</w:t>
      </w:r>
      <w:r w:rsidR="00C13BA5" w:rsidRPr="00C13BA5">
        <w:rPr>
          <w:rFonts w:ascii="Times New Roman" w:hAnsi="Times New Roman" w:cs="Times New Roman"/>
          <w:sz w:val="24"/>
        </w:rPr>
        <w:t>1,5</w:t>
      </w:r>
      <w:r w:rsidRPr="00C13BA5">
        <w:rPr>
          <w:rFonts w:ascii="Times New Roman" w:hAnsi="Times New Roman" w:cs="Times New Roman"/>
          <w:sz w:val="24"/>
        </w:rPr>
        <w:t xml:space="preserve"> процентов, 202</w:t>
      </w:r>
      <w:r w:rsidR="00C13BA5" w:rsidRPr="00C13BA5">
        <w:rPr>
          <w:rFonts w:ascii="Times New Roman" w:hAnsi="Times New Roman" w:cs="Times New Roman"/>
          <w:sz w:val="24"/>
        </w:rPr>
        <w:t>3</w:t>
      </w:r>
      <w:r w:rsidRPr="00C13BA5">
        <w:rPr>
          <w:rFonts w:ascii="Times New Roman" w:hAnsi="Times New Roman" w:cs="Times New Roman"/>
          <w:sz w:val="24"/>
        </w:rPr>
        <w:t xml:space="preserve"> год – 7</w:t>
      </w:r>
      <w:r w:rsidR="00C13BA5" w:rsidRPr="00C13BA5">
        <w:rPr>
          <w:rFonts w:ascii="Times New Roman" w:hAnsi="Times New Roman" w:cs="Times New Roman"/>
          <w:sz w:val="24"/>
        </w:rPr>
        <w:t>3,1</w:t>
      </w:r>
      <w:r w:rsidRPr="00C13BA5">
        <w:rPr>
          <w:rFonts w:ascii="Times New Roman" w:hAnsi="Times New Roman" w:cs="Times New Roman"/>
          <w:sz w:val="24"/>
        </w:rPr>
        <w:t xml:space="preserve"> процентов, 202</w:t>
      </w:r>
      <w:r w:rsidR="00C13BA5" w:rsidRPr="00C13BA5">
        <w:rPr>
          <w:rFonts w:ascii="Times New Roman" w:hAnsi="Times New Roman" w:cs="Times New Roman"/>
          <w:sz w:val="24"/>
        </w:rPr>
        <w:t>4</w:t>
      </w:r>
      <w:r w:rsidRPr="00C13BA5">
        <w:rPr>
          <w:rFonts w:ascii="Times New Roman" w:hAnsi="Times New Roman" w:cs="Times New Roman"/>
          <w:sz w:val="24"/>
        </w:rPr>
        <w:t xml:space="preserve"> год – </w:t>
      </w:r>
      <w:r w:rsidR="00C13BA5" w:rsidRPr="00C13BA5">
        <w:rPr>
          <w:rFonts w:ascii="Times New Roman" w:hAnsi="Times New Roman" w:cs="Times New Roman"/>
          <w:sz w:val="24"/>
        </w:rPr>
        <w:t>70,8</w:t>
      </w:r>
      <w:r w:rsidRPr="00C13BA5">
        <w:rPr>
          <w:rFonts w:ascii="Times New Roman" w:hAnsi="Times New Roman" w:cs="Times New Roman"/>
          <w:sz w:val="24"/>
        </w:rPr>
        <w:t xml:space="preserve"> процент</w:t>
      </w:r>
      <w:r w:rsidR="00C13BA5" w:rsidRPr="00C13BA5">
        <w:rPr>
          <w:rFonts w:ascii="Times New Roman" w:hAnsi="Times New Roman" w:cs="Times New Roman"/>
          <w:sz w:val="24"/>
        </w:rPr>
        <w:t>ов</w:t>
      </w:r>
      <w:r w:rsidRPr="00C13BA5">
        <w:rPr>
          <w:rFonts w:ascii="Times New Roman" w:hAnsi="Times New Roman" w:cs="Times New Roman"/>
          <w:sz w:val="24"/>
        </w:rPr>
        <w:t>).</w:t>
      </w:r>
    </w:p>
    <w:p w:rsidR="00630C1B" w:rsidRPr="00C13BA5" w:rsidRDefault="00630C1B" w:rsidP="00630C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13BA5">
        <w:rPr>
          <w:rFonts w:ascii="Times New Roman" w:hAnsi="Times New Roman" w:cs="Times New Roman"/>
          <w:sz w:val="24"/>
        </w:rPr>
        <w:t>Консолидированный бюджет Саткинского муниципального района в 202</w:t>
      </w:r>
      <w:r w:rsidR="00C13BA5" w:rsidRPr="00C13BA5">
        <w:rPr>
          <w:rFonts w:ascii="Times New Roman" w:hAnsi="Times New Roman" w:cs="Times New Roman"/>
          <w:sz w:val="24"/>
        </w:rPr>
        <w:t>2</w:t>
      </w:r>
      <w:r w:rsidRPr="00C13BA5">
        <w:rPr>
          <w:rFonts w:ascii="Times New Roman" w:hAnsi="Times New Roman" w:cs="Times New Roman"/>
          <w:sz w:val="24"/>
        </w:rPr>
        <w:t xml:space="preserve"> году и в плановом периоде 202</w:t>
      </w:r>
      <w:r w:rsidR="00C13BA5" w:rsidRPr="00C13BA5">
        <w:rPr>
          <w:rFonts w:ascii="Times New Roman" w:hAnsi="Times New Roman" w:cs="Times New Roman"/>
          <w:sz w:val="24"/>
        </w:rPr>
        <w:t xml:space="preserve">3 и </w:t>
      </w:r>
      <w:r w:rsidRPr="00C13BA5">
        <w:rPr>
          <w:rFonts w:ascii="Times New Roman" w:hAnsi="Times New Roman" w:cs="Times New Roman"/>
          <w:sz w:val="24"/>
        </w:rPr>
        <w:t>202</w:t>
      </w:r>
      <w:r w:rsidR="00C13BA5" w:rsidRPr="00C13BA5">
        <w:rPr>
          <w:rFonts w:ascii="Times New Roman" w:hAnsi="Times New Roman" w:cs="Times New Roman"/>
          <w:sz w:val="24"/>
        </w:rPr>
        <w:t>4 годов</w:t>
      </w:r>
      <w:r w:rsidRPr="00C13BA5">
        <w:rPr>
          <w:rFonts w:ascii="Times New Roman" w:hAnsi="Times New Roman" w:cs="Times New Roman"/>
          <w:sz w:val="24"/>
        </w:rPr>
        <w:t xml:space="preserve"> будет сбалансирован по доходам и расходам</w:t>
      </w:r>
      <w:r w:rsidR="00C13BA5" w:rsidRPr="00C13BA5">
        <w:rPr>
          <w:rFonts w:ascii="Times New Roman" w:hAnsi="Times New Roman" w:cs="Times New Roman"/>
          <w:sz w:val="24"/>
        </w:rPr>
        <w:t xml:space="preserve"> (</w:t>
      </w:r>
      <w:r w:rsidRPr="00C13BA5">
        <w:rPr>
          <w:rFonts w:ascii="Times New Roman" w:hAnsi="Times New Roman" w:cs="Times New Roman"/>
          <w:sz w:val="24"/>
        </w:rPr>
        <w:t>без дефицита</w:t>
      </w:r>
      <w:r w:rsidR="00C13BA5" w:rsidRPr="00C13BA5">
        <w:rPr>
          <w:rFonts w:ascii="Times New Roman" w:hAnsi="Times New Roman" w:cs="Times New Roman"/>
          <w:sz w:val="24"/>
        </w:rPr>
        <w:t>)</w:t>
      </w:r>
      <w:r w:rsidRPr="00C13BA5">
        <w:rPr>
          <w:rFonts w:ascii="Times New Roman" w:hAnsi="Times New Roman" w:cs="Times New Roman"/>
          <w:sz w:val="24"/>
        </w:rPr>
        <w:t xml:space="preserve">. </w:t>
      </w:r>
    </w:p>
    <w:p w:rsidR="00F416BB" w:rsidRPr="00864FD1" w:rsidRDefault="00F416BB" w:rsidP="00630C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</w:p>
    <w:p w:rsidR="0098501A" w:rsidRPr="00B7293A" w:rsidRDefault="0098501A" w:rsidP="003C7BF1">
      <w:pPr>
        <w:pStyle w:val="a7"/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7293A">
        <w:rPr>
          <w:rFonts w:ascii="Times New Roman" w:hAnsi="Times New Roman" w:cs="Times New Roman"/>
          <w:b/>
          <w:sz w:val="24"/>
          <w:szCs w:val="28"/>
        </w:rPr>
        <w:t>Денежные доходы и расходы населения</w:t>
      </w:r>
    </w:p>
    <w:p w:rsidR="00953DA2" w:rsidRDefault="000F3AA0" w:rsidP="00953DA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2020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по </w:t>
      </w:r>
      <w:r w:rsidR="005A55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предварительным 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расчетным данным денежные доходы, полученные населением Саткинского муниципального района, по сравнению с прошлым годом увеличились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5,3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и составили в денежном выражении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18 377,9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рублей, 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расчете на душу населения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19 771,9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в месяц</w:t>
      </w:r>
      <w:r w:rsidR="00CD73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(106,6% к 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уровн</w:t>
      </w:r>
      <w:r w:rsidR="00CD738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прошлого года</w:t>
      </w:r>
      <w:r w:rsidR="00CD73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за счет </w:t>
      </w:r>
      <w:r w:rsidR="00953DA2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 оплаты труда наемных работников (на 4,8%), социальных выплат (на 9,1%) и доходов от собственности (на 5,3%).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</w:p>
    <w:p w:rsidR="00757956" w:rsidRPr="00757956" w:rsidRDefault="00953DA2" w:rsidP="0075795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956">
        <w:rPr>
          <w:rFonts w:ascii="Times New Roman" w:hAnsi="Times New Roman" w:cs="Times New Roman"/>
          <w:sz w:val="24"/>
          <w:szCs w:val="24"/>
        </w:rPr>
        <w:t xml:space="preserve">По оценке в 2021 году денежные доходы населения составят 19 002,9 млн. рублей (103,4% к уровню 2020 года). </w:t>
      </w:r>
      <w:r w:rsidR="00757956" w:rsidRPr="00757956">
        <w:rPr>
          <w:rFonts w:ascii="Times New Roman" w:hAnsi="Times New Roman" w:cs="Times New Roman"/>
          <w:sz w:val="24"/>
          <w:szCs w:val="24"/>
        </w:rPr>
        <w:t>При сохранении данных тенденций к 2024 году также будет наблюдаться увеличение доходов: в консервативном варианте – на 4,4 % к аналогичному периоду прошлого года, что составит 21 519,8 млн. рублей; в базовом варианте – на 5,7 %, что составит 22 271,5 млн. рублей.</w:t>
      </w:r>
    </w:p>
    <w:p w:rsidR="00C3151C" w:rsidRDefault="00C07931" w:rsidP="00183EB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Основную долю в доходах населе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ния составляет оплата труда – 48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%, поэтому изменение именно этого показателя влияет на прогнозирование объемов денежных доходов населения в целом. </w:t>
      </w:r>
    </w:p>
    <w:p w:rsidR="00C3151C" w:rsidRDefault="00C3151C" w:rsidP="00183EB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фонд оплаты труда (по полному кругу организаций)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составил</w:t>
      </w: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8 917,3</w:t>
      </w:r>
      <w:r w:rsidR="00D92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млн. рублей</w:t>
      </w:r>
      <w:r w:rsidR="00D92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104,</w:t>
      </w:r>
      <w:r w:rsidR="00D92B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</w:t>
      </w:r>
      <w:r w:rsidR="00D92B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уровню 2019 года).</w:t>
      </w:r>
    </w:p>
    <w:p w:rsidR="00953DA2" w:rsidRPr="00183EB5" w:rsidRDefault="00183EB5" w:rsidP="00183EB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EB5">
        <w:rPr>
          <w:rFonts w:ascii="Times New Roman" w:hAnsi="Times New Roman" w:cs="Times New Roman"/>
          <w:sz w:val="24"/>
          <w:szCs w:val="26"/>
        </w:rPr>
        <w:t>В среднесрочной перспективе ожидается рост фонда оплаты труда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183EB5">
        <w:rPr>
          <w:rFonts w:ascii="Times New Roman" w:hAnsi="Times New Roman" w:cs="Times New Roman"/>
          <w:sz w:val="24"/>
          <w:szCs w:val="26"/>
        </w:rPr>
        <w:t>наемных работников за счет следующих факторов</w:t>
      </w:r>
      <w:r>
        <w:rPr>
          <w:rFonts w:ascii="Times New Roman" w:hAnsi="Times New Roman" w:cs="Times New Roman"/>
          <w:sz w:val="24"/>
          <w:szCs w:val="26"/>
        </w:rPr>
        <w:t>:</w:t>
      </w:r>
    </w:p>
    <w:p w:rsidR="00183EB5" w:rsidRDefault="00183EB5" w:rsidP="00134A91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стабильного функционирования предприятий и организаций Саткинского района;</w:t>
      </w:r>
    </w:p>
    <w:p w:rsidR="00183EB5" w:rsidRPr="00183EB5" w:rsidRDefault="00183EB5" w:rsidP="00134A91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34A">
        <w:rPr>
          <w:rFonts w:ascii="Times New Roman" w:hAnsi="Times New Roman" w:cs="Times New Roman"/>
          <w:color w:val="000000" w:themeColor="text1"/>
          <w:sz w:val="24"/>
          <w:szCs w:val="24"/>
        </w:rPr>
        <w:t>роста объемов производства продукции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прибыли </w:t>
      </w:r>
      <w:r>
        <w:rPr>
          <w:rFonts w:ascii="Times New Roman" w:hAnsi="Times New Roman" w:cs="Times New Roman"/>
          <w:sz w:val="24"/>
          <w:szCs w:val="24"/>
        </w:rPr>
        <w:t>предприятий и организаций</w:t>
      </w:r>
      <w:r w:rsidR="00757956" w:rsidRPr="00757956">
        <w:rPr>
          <w:rFonts w:ascii="Times New Roman" w:hAnsi="Times New Roman" w:cs="Times New Roman"/>
          <w:sz w:val="24"/>
          <w:szCs w:val="24"/>
        </w:rPr>
        <w:t xml:space="preserve"> </w:t>
      </w:r>
      <w:r w:rsidR="00757956">
        <w:rPr>
          <w:rFonts w:ascii="Times New Roman" w:hAnsi="Times New Roman" w:cs="Times New Roman"/>
          <w:sz w:val="24"/>
          <w:szCs w:val="24"/>
        </w:rPr>
        <w:t>Саткинского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562E" w:rsidRPr="00B7293A" w:rsidRDefault="00C07931" w:rsidP="00134A91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5555">
        <w:rPr>
          <w:rFonts w:ascii="Times New Roman" w:hAnsi="Times New Roman" w:cs="Times New Roman"/>
          <w:color w:val="000000" w:themeColor="text1"/>
          <w:sz w:val="24"/>
          <w:szCs w:val="24"/>
        </w:rPr>
        <w:t>ежегодного увеличения минимального размера оплаты труда</w:t>
      </w:r>
      <w:r w:rsidR="008A1F3B" w:rsidRPr="00E855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A1F3B" w:rsidRPr="00E85555">
        <w:rPr>
          <w:rFonts w:ascii="Times New Roman" w:hAnsi="Times New Roman" w:cs="Times New Roman"/>
          <w:sz w:val="24"/>
          <w:szCs w:val="24"/>
        </w:rPr>
        <w:t xml:space="preserve"> </w:t>
      </w:r>
      <w:r w:rsidR="008A1F3B" w:rsidRPr="00B7293A">
        <w:rPr>
          <w:rFonts w:ascii="Times New Roman" w:hAnsi="Times New Roman" w:cs="Times New Roman"/>
          <w:sz w:val="24"/>
          <w:szCs w:val="24"/>
        </w:rPr>
        <w:t>Федеральным законом от 29.12.2020 г. № 473-ФЗ начиная с 2021 года минимальный размер оплаты труда (далее - МРОТ) на очередной год устанавливается в текущем году и исчисляется исходя из величины медианной заработной платы, рассчитанной Росстат</w:t>
      </w:r>
      <w:r w:rsidR="0055562E" w:rsidRPr="00B7293A">
        <w:rPr>
          <w:rFonts w:ascii="Times New Roman" w:hAnsi="Times New Roman" w:cs="Times New Roman"/>
          <w:sz w:val="24"/>
          <w:szCs w:val="24"/>
        </w:rPr>
        <w:t>ом</w:t>
      </w:r>
      <w:r w:rsidR="008A1F3B" w:rsidRPr="00B7293A">
        <w:rPr>
          <w:rFonts w:ascii="Times New Roman" w:hAnsi="Times New Roman" w:cs="Times New Roman"/>
          <w:sz w:val="24"/>
          <w:szCs w:val="24"/>
        </w:rPr>
        <w:t xml:space="preserve">, за предыдущий год (то есть в 2021 году принимается закон об установлении МРОТ на 2022 год исходя из медианной зарплаты за 2020 год). С 2021 года соотношение </w:t>
      </w:r>
      <w:r w:rsidR="00E85555" w:rsidRPr="00B7293A">
        <w:rPr>
          <w:rFonts w:ascii="Times New Roman" w:hAnsi="Times New Roman" w:cs="Times New Roman"/>
          <w:sz w:val="24"/>
          <w:szCs w:val="24"/>
        </w:rPr>
        <w:t>МРОТ</w:t>
      </w:r>
      <w:r w:rsidR="008A1F3B" w:rsidRPr="00B7293A">
        <w:rPr>
          <w:rFonts w:ascii="Times New Roman" w:hAnsi="Times New Roman" w:cs="Times New Roman"/>
          <w:sz w:val="24"/>
          <w:szCs w:val="24"/>
        </w:rPr>
        <w:t xml:space="preserve"> и медианной заработной платы устанавливается в размере 42%. Соотношение МРОТ и медианной заработной платы пересматривается не реже 1 раза в 5 лет. Проектом ФЗ "О внесении изменения в ст. 1 Федерального закона "О минимальном размере оплаты труда" (далее - законопроект) предлагается изложить в новой редакции часть первую статьи 1 Федерального закона "О минимальном размере оплаты труда", установив МРОТ с 1 января 2022 г. в сумме 13 617 рублей в месяц, что составляет 42 процента величины медианной заработной платы за 2020 год (32 422 рубля по данным Росстата).</w:t>
      </w:r>
      <w:r w:rsidR="0055562E" w:rsidRPr="00B7293A">
        <w:rPr>
          <w:rFonts w:ascii="Times New Roman" w:hAnsi="Times New Roman" w:cs="Times New Roman"/>
          <w:sz w:val="24"/>
          <w:szCs w:val="24"/>
        </w:rPr>
        <w:t xml:space="preserve"> Повышение МРОТ в 2022 году составит 825 рублей (рост на 6,4 процента) по отношению к установленному с 1 января</w:t>
      </w:r>
      <w:r w:rsidR="00B7293A">
        <w:rPr>
          <w:rFonts w:ascii="Times New Roman" w:hAnsi="Times New Roman" w:cs="Times New Roman"/>
          <w:sz w:val="24"/>
          <w:szCs w:val="24"/>
        </w:rPr>
        <w:t xml:space="preserve"> 2021 г. (12 792 рубля в месяц);</w:t>
      </w:r>
    </w:p>
    <w:p w:rsidR="001E394E" w:rsidRDefault="00757956" w:rsidP="001E394E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ежегодной 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индексации заработной платы работникам бюджетной сферы; </w:t>
      </w:r>
    </w:p>
    <w:p w:rsidR="001E394E" w:rsidRPr="001E394E" w:rsidRDefault="001E394E" w:rsidP="001E394E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394E">
        <w:rPr>
          <w:rFonts w:ascii="Times New Roman" w:hAnsi="Times New Roman" w:cs="Times New Roman"/>
          <w:sz w:val="24"/>
          <w:szCs w:val="24"/>
        </w:rPr>
        <w:t>обеспечения соблюдения параметров по уровню зарплат учителей, врачей, работников бюджетных организаций в целом, заданных в майских указах 2012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293A" w:rsidRDefault="00CA5224" w:rsidP="001E394E">
      <w:pPr>
        <w:pStyle w:val="a7"/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93A">
        <w:rPr>
          <w:rFonts w:ascii="Times New Roman" w:hAnsi="Times New Roman" w:cs="Times New Roman"/>
          <w:sz w:val="24"/>
          <w:szCs w:val="24"/>
        </w:rPr>
        <w:t xml:space="preserve">запланированного роста заработной платы на </w:t>
      </w:r>
      <w:r w:rsidR="00C07931" w:rsidRPr="00B7293A">
        <w:rPr>
          <w:rFonts w:ascii="Times New Roman" w:hAnsi="Times New Roman" w:cs="Times New Roman"/>
          <w:sz w:val="24"/>
          <w:szCs w:val="24"/>
        </w:rPr>
        <w:t>предприяти</w:t>
      </w:r>
      <w:r w:rsidRPr="00B7293A">
        <w:rPr>
          <w:rFonts w:ascii="Times New Roman" w:hAnsi="Times New Roman" w:cs="Times New Roman"/>
          <w:sz w:val="24"/>
          <w:szCs w:val="24"/>
        </w:rPr>
        <w:t>ях</w:t>
      </w:r>
      <w:r w:rsidR="00C07931" w:rsidRPr="00B7293A">
        <w:rPr>
          <w:rFonts w:ascii="Times New Roman" w:hAnsi="Times New Roman" w:cs="Times New Roman"/>
          <w:sz w:val="24"/>
          <w:szCs w:val="24"/>
        </w:rPr>
        <w:t xml:space="preserve"> и организаци</w:t>
      </w:r>
      <w:r w:rsidRPr="00B7293A">
        <w:rPr>
          <w:rFonts w:ascii="Times New Roman" w:hAnsi="Times New Roman" w:cs="Times New Roman"/>
          <w:sz w:val="24"/>
          <w:szCs w:val="24"/>
        </w:rPr>
        <w:t>ях</w:t>
      </w:r>
      <w:r w:rsidR="00C07931" w:rsidRPr="00B7293A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B7293A" w:rsidRPr="00B7293A">
        <w:rPr>
          <w:rFonts w:ascii="Times New Roman" w:hAnsi="Times New Roman" w:cs="Times New Roman"/>
          <w:sz w:val="24"/>
          <w:szCs w:val="24"/>
        </w:rPr>
        <w:t xml:space="preserve"> </w:t>
      </w:r>
      <w:r w:rsidR="00B7293A" w:rsidRPr="00B7293A">
        <w:rPr>
          <w:rFonts w:ascii="Times New Roman" w:hAnsi="Times New Roman" w:cs="Times New Roman"/>
          <w:sz w:val="24"/>
          <w:szCs w:val="26"/>
        </w:rPr>
        <w:t xml:space="preserve">на величину выше </w:t>
      </w:r>
      <w:r w:rsidR="00B7293A" w:rsidRPr="00B7293A">
        <w:rPr>
          <w:rFonts w:ascii="Times New Roman" w:hAnsi="Times New Roman" w:cs="Times New Roman"/>
          <w:sz w:val="24"/>
          <w:szCs w:val="24"/>
        </w:rPr>
        <w:t>индекса потребительских цен на товары и услуги</w:t>
      </w:r>
      <w:r w:rsidR="00D92BF6">
        <w:rPr>
          <w:rFonts w:ascii="Times New Roman" w:hAnsi="Times New Roman" w:cs="Times New Roman"/>
          <w:sz w:val="24"/>
          <w:szCs w:val="24"/>
        </w:rPr>
        <w:t>.</w:t>
      </w:r>
    </w:p>
    <w:p w:rsidR="00C3151C" w:rsidRDefault="00D70863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п</w:t>
      </w:r>
      <w:r w:rsidR="00C3151C">
        <w:rPr>
          <w:rFonts w:ascii="Times New Roman" w:hAnsi="Times New Roman" w:cs="Times New Roman"/>
          <w:color w:val="000000" w:themeColor="text1"/>
          <w:sz w:val="24"/>
          <w:szCs w:val="24"/>
        </w:rPr>
        <w:t>ри условии выпол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нения вышеуказанных мероприятий, а также принимая во внимание информацию, предоставленную основными социально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экономически значимыми организациями района – ожидается, что </w:t>
      </w:r>
      <w:r w:rsidR="00C3151C">
        <w:rPr>
          <w:rFonts w:ascii="Times New Roman" w:hAnsi="Times New Roman" w:cs="Times New Roman"/>
          <w:color w:val="000000" w:themeColor="text1"/>
          <w:sz w:val="24"/>
          <w:szCs w:val="24"/>
        </w:rPr>
        <w:t>фонд оплаты труда наемных работников (по полному кругу организаций)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составит</w:t>
      </w:r>
      <w:r w:rsidR="00C3151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07931" w:rsidRPr="008C111D" w:rsidRDefault="00C3151C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C64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оценке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 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9 440,3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5,9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к 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>уровню 2020 года)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07931" w:rsidRPr="008C111D" w:rsidRDefault="00C3151C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 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прогнозируется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консервативному варианту – 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9 813,6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104,0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к аналогичному периоду прошлого года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7931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по базовому варианту – 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9 951,6 млн. рублей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07931">
        <w:rPr>
          <w:rFonts w:ascii="Times New Roman" w:hAnsi="Times New Roman" w:cs="Times New Roman"/>
          <w:color w:val="000000" w:themeColor="text1"/>
          <w:sz w:val="24"/>
          <w:szCs w:val="24"/>
        </w:rPr>
        <w:t>105,4 %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863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к аналогичному периоду прошлого года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C07931" w:rsidRPr="007659DC" w:rsidRDefault="00D70863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C07931"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 году ожидается по консервативному варианту – 10 225,0 млн. рублей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07931"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104,2 % к аналогичному периоду прошлого года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7931"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; по базовому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арианту – 10 572,7 млн. рублей (</w:t>
      </w:r>
      <w:r w:rsidR="00C07931"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106,2 %</w:t>
      </w:r>
      <w:r w:rsidRP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к аналогичному периоду прошлого года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</w:t>
      </w:r>
    </w:p>
    <w:p w:rsidR="00C07931" w:rsidRPr="000E434A" w:rsidRDefault="00D70863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C07931" w:rsidRPr="000E4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 году ожидается в размере по консервативному варианту – 10 683,6 млн. рублей</w:t>
      </w:r>
      <w:r w:rsidR="00C64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07931" w:rsidRPr="000E434A">
        <w:rPr>
          <w:rFonts w:ascii="Times New Roman" w:hAnsi="Times New Roman" w:cs="Times New Roman"/>
          <w:color w:val="000000" w:themeColor="text1"/>
          <w:sz w:val="24"/>
          <w:szCs w:val="24"/>
        </w:rPr>
        <w:t>104,5 % к аналогичному периоду прошлого года</w:t>
      </w:r>
      <w:r w:rsidR="00C641C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7931" w:rsidRPr="000E434A">
        <w:rPr>
          <w:rFonts w:ascii="Times New Roman" w:hAnsi="Times New Roman" w:cs="Times New Roman"/>
          <w:color w:val="000000" w:themeColor="text1"/>
          <w:sz w:val="24"/>
          <w:szCs w:val="24"/>
        </w:rPr>
        <w:t>; по базовому варианту – 11 253,3 млн. рублей</w:t>
      </w:r>
      <w:r w:rsidR="00C64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(106,4 % </w:t>
      </w:r>
      <w:r w:rsidR="00C641C9" w:rsidRPr="007659DC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C641C9" w:rsidRPr="00D70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41C9" w:rsidRPr="008C111D">
        <w:rPr>
          <w:rFonts w:ascii="Times New Roman" w:hAnsi="Times New Roman" w:cs="Times New Roman"/>
          <w:color w:val="000000" w:themeColor="text1"/>
          <w:sz w:val="24"/>
          <w:szCs w:val="24"/>
        </w:rPr>
        <w:t>к аналогичному периоду прошлого года</w:t>
      </w:r>
      <w:r w:rsidR="00C641C9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C07931" w:rsidRPr="00406C76" w:rsidRDefault="00C07931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Средний размер назначенных месячных пенсий пенсионеров, состоящих на учете в отделениях Пенсионного фонда РФ по </w:t>
      </w:r>
      <w:proofErr w:type="spellStart"/>
      <w:r w:rsidRPr="00406C76">
        <w:rPr>
          <w:rFonts w:ascii="Times New Roman" w:hAnsi="Times New Roman" w:cs="Times New Roman"/>
          <w:color w:val="000000" w:themeColor="text1"/>
          <w:sz w:val="24"/>
          <w:szCs w:val="24"/>
        </w:rPr>
        <w:t>Саткинскому</w:t>
      </w:r>
      <w:proofErr w:type="spellEnd"/>
      <w:r w:rsidRPr="00406C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району, по итогам 2020 года вырос                    на 6,3 %, по сравнению с аналогичным периодом прошлого года, и составил                                15 460,5 рублей. При этом темп роста реального размера назначенных пенсий превысил уровень инфляции и составил 102,8 % к уровню прошлого года.</w:t>
      </w:r>
    </w:p>
    <w:p w:rsidR="00C07931" w:rsidRPr="003B7DEE" w:rsidRDefault="00C07931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>Исходя из динамики ряда лет, а также с учетом запланированной пенсионной реформы в Российской Федерации, в 2021 году ожидается рост среднемесячного размера пенсии на 5,7 % к аналогичному периоду прошлого года и составит 16 349,3 рублей.                        Но реальный размер назна</w:t>
      </w:r>
      <w:r w:rsidR="00C33753">
        <w:rPr>
          <w:rFonts w:ascii="Times New Roman" w:hAnsi="Times New Roman" w:cs="Times New Roman"/>
          <w:color w:val="000000" w:themeColor="text1"/>
          <w:sz w:val="24"/>
          <w:szCs w:val="24"/>
        </w:rPr>
        <w:t>ченных пенсий составит 100,5 %</w:t>
      </w: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ростом потребительских цен.</w:t>
      </w:r>
    </w:p>
    <w:p w:rsidR="00C07931" w:rsidRPr="003B7DEE" w:rsidRDefault="00C07931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>В 2022 году рост среднемесячного размера пенсии составит: в консервативном варианте – на 5,2 % к аналогичному периоду прошлого года, что в стоимостном выражении – 17 199,4 рублей, при этом реальный размер назначенных пенсий составит 101,3 %; в базовом варианте – на 5,7 %, что в стоимостном выражении – 17 281,2 рублей, при этом реальный размер назначенных пенсий составит 101,8 %.</w:t>
      </w:r>
    </w:p>
    <w:p w:rsidR="00C07931" w:rsidRPr="003B7DEE" w:rsidRDefault="00C07931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также будет наблюдаться увеличение среднемесячного размера пенсии:     в консервативном варианте – на 4,8 % к аналогичному периоду прошлого года, что составит 18 025,0 рублей, при этом реальный размер назначенных пенсий составит </w:t>
      </w:r>
      <w:r w:rsidR="00D7086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>00,8 %; в базовом варианте – на 5,2 %, что составит 18 179,8 рублей, при этом реальный размер назначенных пенсий составит 101,2 %.</w:t>
      </w:r>
    </w:p>
    <w:p w:rsidR="00C07931" w:rsidRPr="008C111D" w:rsidRDefault="00C07931" w:rsidP="00C079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 также будет наблюдаться увеличение среднемесячного размера пенсии:      в консервативном варианте – на 4,7 % к аналогичному периоду прошлого года, что составит 18 872,2 рублей, при этом реальный размер назначенных пенсий составит 100,7 </w:t>
      </w:r>
      <w:r w:rsidRPr="003B7DE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%; в базовом варианте – на 5,2 %, что составит 19 125,1 рублей, при этом реальный размер назначенных пенсий составит 101,2 %.</w:t>
      </w:r>
    </w:p>
    <w:p w:rsidR="0089371B" w:rsidRDefault="0089371B" w:rsidP="0098501A">
      <w:pPr>
        <w:pStyle w:val="a7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C07931" w:rsidRPr="00864FD1" w:rsidRDefault="00C07931" w:rsidP="0098501A">
      <w:pPr>
        <w:pStyle w:val="a7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98501A" w:rsidRPr="00347E08" w:rsidRDefault="0098501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47E08">
        <w:rPr>
          <w:rFonts w:ascii="Times New Roman" w:hAnsi="Times New Roman" w:cs="Times New Roman"/>
          <w:b/>
          <w:sz w:val="24"/>
          <w:szCs w:val="28"/>
        </w:rPr>
        <w:t>Труд и занятость</w:t>
      </w:r>
    </w:p>
    <w:p w:rsidR="00BF46FB" w:rsidRPr="00347E08" w:rsidRDefault="00BF46FB" w:rsidP="00BF46F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E08">
        <w:rPr>
          <w:rFonts w:ascii="Times New Roman" w:eastAsia="Calibri" w:hAnsi="Times New Roman" w:cs="Times New Roman"/>
          <w:sz w:val="24"/>
          <w:szCs w:val="24"/>
        </w:rPr>
        <w:t xml:space="preserve">Анализируя информацию о возрастно-половой структуре населения, предоставленной Челябинскстатом, можно сделать вывод: в Саткинском районе одной из определяющих тенденций в развитии демографической сферы является процесс старения населения. Этот фактор во многом определяет направление развития демографических процессов в районе и состояние занятости в экономике. 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Среднесписочная численность работников по полному кругу организаций </w:t>
      </w:r>
      <w:r w:rsidR="00C641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</w:t>
      </w: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предприятий по итогам 20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</w:t>
      </w: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года составила 22,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</w:t>
      </w: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тыс. человек, что ниже уровня предыдущего года на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590</w:t>
      </w: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человек или на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2,</w:t>
      </w:r>
      <w:r w:rsidR="00D91BA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Pr="00970B9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%. В течение отчетного года состояние рынка труда характеризовалось снижением среднесписочной численности работников на крупных и средних организациях (предприятиях), 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на которых трудятся </w:t>
      </w:r>
      <w:r w:rsidR="00154B35" w:rsidRPr="00154B35">
        <w:rPr>
          <w:rFonts w:ascii="Times New Roman" w:eastAsia="Calibri" w:hAnsi="Times New Roman" w:cs="Times New Roman"/>
          <w:sz w:val="24"/>
          <w:szCs w:val="24"/>
        </w:rPr>
        <w:t>61,2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 % от численности занятого в экономике населения. Среднесписочная численность работников по крупным и средним организациям (предприятиям) снизилась на 119 человек или на 0,7 % и составила 18,3 тыс. человек. </w:t>
      </w:r>
    </w:p>
    <w:p w:rsidR="00154B35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Район имеет развитое промышленное производство: более половины численности работников списочного состава крупных и средних организаций – 51,1 % сосредоточена в промышленности. В свою очередь в промышленном производстве наибольшая доля – 71,6% – </w:t>
      </w:r>
      <w:r w:rsidR="005925F9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работники обрабатывающих производств, в организация (предприятиях) по добыче полезных ископаемых трудятся 18,7 %; </w:t>
      </w:r>
      <w:r w:rsidR="005925F9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154B35">
        <w:rPr>
          <w:rFonts w:ascii="Times New Roman" w:eastAsia="Calibri" w:hAnsi="Times New Roman" w:cs="Times New Roman"/>
          <w:sz w:val="24"/>
          <w:szCs w:val="24"/>
        </w:rPr>
        <w:t>обеспечени</w:t>
      </w:r>
      <w:r w:rsidR="005925F9">
        <w:rPr>
          <w:rFonts w:ascii="Times New Roman" w:eastAsia="Calibri" w:hAnsi="Times New Roman" w:cs="Times New Roman"/>
          <w:sz w:val="24"/>
          <w:szCs w:val="24"/>
        </w:rPr>
        <w:t>ю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 электрической энергией, газом и паром, кондиционированием воздуха занято 8,2 % работников; на предприятиях, осуществляющих деятельность по водоснабжению, водоотведению, организации сбора и утилизации отходов, деятельность по ликвидации загрязнений – 1,4 %. </w:t>
      </w:r>
    </w:p>
    <w:p w:rsidR="00347E08" w:rsidRPr="00154B35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Также значительная доля приходится на работников, занятых в сфере образования – </w:t>
      </w:r>
      <w:r w:rsidR="00154B35" w:rsidRPr="00154B35">
        <w:rPr>
          <w:rFonts w:ascii="Times New Roman" w:eastAsia="Calibri" w:hAnsi="Times New Roman" w:cs="Times New Roman"/>
          <w:sz w:val="24"/>
          <w:szCs w:val="24"/>
        </w:rPr>
        <w:t>14</w:t>
      </w:r>
      <w:r w:rsidRPr="00154B35">
        <w:rPr>
          <w:rFonts w:ascii="Times New Roman" w:eastAsia="Calibri" w:hAnsi="Times New Roman" w:cs="Times New Roman"/>
          <w:sz w:val="24"/>
          <w:szCs w:val="24"/>
        </w:rPr>
        <w:t>,6 %</w:t>
      </w:r>
      <w:r w:rsidR="005925F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в области здравоохранения и социальных услуг </w:t>
      </w:r>
      <w:r w:rsidR="005925F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154B35" w:rsidRPr="00154B35">
        <w:rPr>
          <w:rFonts w:ascii="Times New Roman" w:eastAsia="Calibri" w:hAnsi="Times New Roman" w:cs="Times New Roman"/>
          <w:sz w:val="24"/>
          <w:szCs w:val="24"/>
        </w:rPr>
        <w:t>11,1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:rsidR="001A2A8E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A8E">
        <w:rPr>
          <w:rFonts w:ascii="Times New Roman" w:eastAsia="Calibri" w:hAnsi="Times New Roman" w:cs="Times New Roman"/>
          <w:sz w:val="24"/>
          <w:szCs w:val="24"/>
        </w:rPr>
        <w:t>Анализируя статистические данные в разрезе видов экономической деятельности, можно отметить, что по итогам 2020 года</w:t>
      </w:r>
      <w:r w:rsidR="001A2A8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47E08" w:rsidRDefault="001A2A8E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 xml:space="preserve"> снижение среднесписочной численности работников крупных и средних организаций (</w:t>
      </w:r>
      <w:r w:rsidRPr="001A2A8E">
        <w:rPr>
          <w:rFonts w:ascii="Times New Roman" w:eastAsia="Calibri" w:hAnsi="Times New Roman" w:cs="Times New Roman"/>
          <w:sz w:val="24"/>
          <w:szCs w:val="24"/>
        </w:rPr>
        <w:t>с численность работников до 15 чел)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 xml:space="preserve">, по отношению к прошлому году, произошло в таких сферах, как промышленное производство – добыча полезных ископаемых – на 5 % и обрабатывающие производства – на 2,5 %; деятельность гостиниц и предприятий общественного питания – на </w:t>
      </w:r>
      <w:r w:rsidRPr="001A2A8E">
        <w:rPr>
          <w:rFonts w:ascii="Times New Roman" w:eastAsia="Calibri" w:hAnsi="Times New Roman" w:cs="Times New Roman"/>
          <w:sz w:val="24"/>
          <w:szCs w:val="24"/>
        </w:rPr>
        <w:t>29,6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 xml:space="preserve"> %; деятельность финансовая и страховая 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lastRenderedPageBreak/>
        <w:t>на 6,</w:t>
      </w:r>
      <w:r w:rsidRPr="001A2A8E">
        <w:rPr>
          <w:rFonts w:ascii="Times New Roman" w:eastAsia="Calibri" w:hAnsi="Times New Roman" w:cs="Times New Roman"/>
          <w:sz w:val="24"/>
          <w:szCs w:val="24"/>
        </w:rPr>
        <w:t>6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>; деятельность профессиональная, научная и техническая на 1</w:t>
      </w:r>
      <w:r w:rsidRPr="001A2A8E">
        <w:rPr>
          <w:rFonts w:ascii="Times New Roman" w:eastAsia="Calibri" w:hAnsi="Times New Roman" w:cs="Times New Roman"/>
          <w:sz w:val="24"/>
          <w:szCs w:val="24"/>
        </w:rPr>
        <w:t>2,8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 xml:space="preserve"> %; образование – 2</w:t>
      </w:r>
      <w:r w:rsidRPr="001A2A8E">
        <w:rPr>
          <w:rFonts w:ascii="Times New Roman" w:eastAsia="Calibri" w:hAnsi="Times New Roman" w:cs="Times New Roman"/>
          <w:sz w:val="24"/>
          <w:szCs w:val="24"/>
        </w:rPr>
        <w:t>,1</w:t>
      </w:r>
      <w:r w:rsidR="00347E08" w:rsidRPr="001A2A8E">
        <w:rPr>
          <w:rFonts w:ascii="Times New Roman" w:eastAsia="Calibri" w:hAnsi="Times New Roman" w:cs="Times New Roman"/>
          <w:sz w:val="24"/>
          <w:szCs w:val="24"/>
        </w:rPr>
        <w:t xml:space="preserve"> %; в области здравоохранения и социальных услуг на 3,5%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A2A8E" w:rsidRPr="00A12160" w:rsidRDefault="001A2A8E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рост</w:t>
      </w:r>
      <w:r w:rsidRPr="001A2A8E">
        <w:rPr>
          <w:rFonts w:ascii="Times New Roman" w:eastAsia="Calibri" w:hAnsi="Times New Roman" w:cs="Times New Roman"/>
          <w:sz w:val="24"/>
          <w:szCs w:val="24"/>
        </w:rPr>
        <w:t xml:space="preserve"> среднесписочной численности работников крупных и средних организаций (с численность работников до 15 чел), по отношению к прошлому году, произошло в таких сферах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как обеспечение электроэнергией, газом и паром; кондиционирование воздуха – на 20,7%; водоснабжение; водоотведение, организация сбора и утилизации отходов, деятельность по ликвидации загрязнений – на 1,5%; строительство – в 1,5 раза; </w:t>
      </w:r>
      <w:r w:rsidR="00866004">
        <w:rPr>
          <w:rFonts w:ascii="Times New Roman" w:eastAsia="Calibri" w:hAnsi="Times New Roman" w:cs="Times New Roman"/>
          <w:sz w:val="24"/>
          <w:szCs w:val="24"/>
        </w:rPr>
        <w:t>торговля оптовая и розничная; ремонт автотранспортных средств и мотоциклов –</w:t>
      </w:r>
      <w:r w:rsidR="00FE3B7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66004">
        <w:rPr>
          <w:rFonts w:ascii="Times New Roman" w:eastAsia="Calibri" w:hAnsi="Times New Roman" w:cs="Times New Roman"/>
          <w:sz w:val="24"/>
          <w:szCs w:val="24"/>
        </w:rPr>
        <w:t xml:space="preserve">12,5%; деятельность </w:t>
      </w:r>
      <w:r w:rsidR="00FE3B7B">
        <w:rPr>
          <w:rFonts w:ascii="Times New Roman" w:eastAsia="Calibri" w:hAnsi="Times New Roman" w:cs="Times New Roman"/>
          <w:sz w:val="24"/>
          <w:szCs w:val="24"/>
        </w:rPr>
        <w:t xml:space="preserve">административная и сопутствующие дополнительные услуги – в 1,6 р.; </w:t>
      </w:r>
      <w:proofErr w:type="spellStart"/>
      <w:r w:rsidR="00FE3B7B">
        <w:rPr>
          <w:rFonts w:ascii="Times New Roman" w:eastAsia="Calibri" w:hAnsi="Times New Roman" w:cs="Times New Roman"/>
          <w:sz w:val="24"/>
          <w:szCs w:val="24"/>
        </w:rPr>
        <w:t>госуправление</w:t>
      </w:r>
      <w:proofErr w:type="spellEnd"/>
      <w:r w:rsidR="00FE3B7B">
        <w:rPr>
          <w:rFonts w:ascii="Times New Roman" w:eastAsia="Calibri" w:hAnsi="Times New Roman" w:cs="Times New Roman"/>
          <w:sz w:val="24"/>
          <w:szCs w:val="24"/>
        </w:rPr>
        <w:t xml:space="preserve"> и обеспечение военной безопасности; соцобеспечение – на 9,4%.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7E08" w:rsidRPr="00154B35" w:rsidRDefault="00154B35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B35">
        <w:rPr>
          <w:rFonts w:ascii="Times New Roman" w:eastAsia="Calibri" w:hAnsi="Times New Roman" w:cs="Times New Roman"/>
          <w:sz w:val="24"/>
          <w:szCs w:val="24"/>
        </w:rPr>
        <w:t>С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>реднесписочн</w:t>
      </w:r>
      <w:r w:rsidRPr="00154B35">
        <w:rPr>
          <w:rFonts w:ascii="Times New Roman" w:eastAsia="Calibri" w:hAnsi="Times New Roman" w:cs="Times New Roman"/>
          <w:sz w:val="24"/>
          <w:szCs w:val="24"/>
        </w:rPr>
        <w:t>ая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 xml:space="preserve"> численност</w:t>
      </w:r>
      <w:r w:rsidRPr="00154B35">
        <w:rPr>
          <w:rFonts w:ascii="Times New Roman" w:eastAsia="Calibri" w:hAnsi="Times New Roman" w:cs="Times New Roman"/>
          <w:sz w:val="24"/>
          <w:szCs w:val="24"/>
        </w:rPr>
        <w:t>ь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 xml:space="preserve"> работников крупных и средних организаций 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(с численность работников до 15 чел.) 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>в первом полугодии 2021 года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>составила 18,</w:t>
      </w:r>
      <w:r w:rsidRPr="00154B35">
        <w:rPr>
          <w:rFonts w:ascii="Times New Roman" w:eastAsia="Calibri" w:hAnsi="Times New Roman" w:cs="Times New Roman"/>
          <w:sz w:val="24"/>
          <w:szCs w:val="24"/>
        </w:rPr>
        <w:t>1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 xml:space="preserve"> тыс. человек, что </w:t>
      </w:r>
      <w:r w:rsidRPr="00154B35">
        <w:rPr>
          <w:rFonts w:ascii="Times New Roman" w:eastAsia="Calibri" w:hAnsi="Times New Roman" w:cs="Times New Roman"/>
          <w:sz w:val="24"/>
          <w:szCs w:val="24"/>
        </w:rPr>
        <w:t>выше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 xml:space="preserve"> уровня прошлого года на 0,</w:t>
      </w:r>
      <w:r w:rsidRPr="00154B35">
        <w:rPr>
          <w:rFonts w:ascii="Times New Roman" w:eastAsia="Calibri" w:hAnsi="Times New Roman" w:cs="Times New Roman"/>
          <w:sz w:val="24"/>
          <w:szCs w:val="24"/>
        </w:rPr>
        <w:t>4</w:t>
      </w:r>
      <w:r w:rsidR="00347E08" w:rsidRPr="00154B35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Pr="00154B35">
        <w:rPr>
          <w:rFonts w:ascii="Times New Roman" w:eastAsia="Calibri" w:hAnsi="Times New Roman" w:cs="Times New Roman"/>
          <w:sz w:val="24"/>
          <w:szCs w:val="24"/>
        </w:rPr>
        <w:t xml:space="preserve"> или на 73 чело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54B35">
        <w:rPr>
          <w:rFonts w:ascii="Times New Roman" w:eastAsia="Calibri" w:hAnsi="Times New Roman" w:cs="Times New Roman"/>
          <w:sz w:val="24"/>
          <w:szCs w:val="24"/>
        </w:rPr>
        <w:t>ека.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Таким образом, учитывая динамику прошлых лет, анализируя данные текущего года, а также принимая во внимание информацию, предоставленную основными социально и экономически значимыми организациями (предприятиями) о развитии их деятельности и перспективах на плановый период – ожидаем, что среднесписочная численность работников по полному кругу в 2021 году составит 21,9 тыс. человек, а к концу 2024 года –                                   в консервативном варианте – 21,1 тыс. человек, в базовом варианте – 21,7 тыс. человек.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Среднесписочная численность работников органов местного самоуправления                             за 2020 год составила 353 человека. По итогам 2021 года значение данного показателя сохранится на уровне 2020 года</w:t>
      </w:r>
      <w:r w:rsidR="006667E5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 в плановом периоде 2022-2024 годов значение данного показателя</w:t>
      </w:r>
      <w:r w:rsidR="006667E5">
        <w:rPr>
          <w:rFonts w:ascii="Times New Roman" w:eastAsia="Calibri" w:hAnsi="Times New Roman" w:cs="Times New Roman"/>
          <w:sz w:val="24"/>
          <w:szCs w:val="24"/>
        </w:rPr>
        <w:t xml:space="preserve"> прогнозируется</w:t>
      </w: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 на уровне 2021 года.</w:t>
      </w:r>
    </w:p>
    <w:p w:rsidR="006667E5" w:rsidRDefault="00347E08" w:rsidP="006667E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Согласно данным ОКУ Центр занятости населения г. Сатка в районе по состоянию                     на конец 2020 года на учете в Центре занятости состояло в качестве безработных                          1 184 человека, что выше уровня прошлого года на 470 человек или на 65,8 %. В составе безработных основным контингентом по причине незанятости являются уволенные по собственному желанию – 81,7 % от общей численности зарегистрированных безработных. По возрастным группам наибольший удельный вес – 76,3 % – приходится на граждан в возрасте 30 лет и старше. По уровню образования в составе безработных наибольшую долю заняли безработные, имеющие среднее професс</w:t>
      </w:r>
      <w:r w:rsidR="006667E5">
        <w:rPr>
          <w:rFonts w:ascii="Times New Roman" w:eastAsia="Calibri" w:hAnsi="Times New Roman" w:cs="Times New Roman"/>
          <w:sz w:val="24"/>
          <w:szCs w:val="24"/>
        </w:rPr>
        <w:t>иональное образование – 57,3 %.</w:t>
      </w:r>
    </w:p>
    <w:p w:rsidR="00347E08" w:rsidRPr="006667E5" w:rsidRDefault="00347E08" w:rsidP="006667E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Уровень зарегистрированной безработицы к экономически активному населению на 31.12.2020 составил 3,6 % (2,1 % по состоянию на 31.12.2019). </w:t>
      </w:r>
      <w:proofErr w:type="spellStart"/>
      <w:r w:rsidRPr="00A12160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Pr="00A12160">
        <w:rPr>
          <w:rFonts w:ascii="Times New Roman" w:hAnsi="Times New Roman" w:cs="Times New Roman"/>
          <w:sz w:val="24"/>
          <w:szCs w:val="24"/>
        </w:rPr>
        <w:t xml:space="preserve"> муниципальный район по уровню зарегистрированной безработицы в рейтинге среди </w:t>
      </w:r>
      <w:r w:rsidRPr="00A12160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</w:t>
      </w:r>
      <w:r w:rsidRPr="00FE3B7B">
        <w:rPr>
          <w:rFonts w:ascii="Times New Roman" w:hAnsi="Times New Roman" w:cs="Times New Roman"/>
          <w:sz w:val="24"/>
          <w:szCs w:val="24"/>
        </w:rPr>
        <w:t>образований Челябинской области занимает 1</w:t>
      </w:r>
      <w:r w:rsidR="00FE3B7B" w:rsidRPr="00FE3B7B">
        <w:rPr>
          <w:rFonts w:ascii="Times New Roman" w:hAnsi="Times New Roman" w:cs="Times New Roman"/>
          <w:sz w:val="24"/>
          <w:szCs w:val="24"/>
        </w:rPr>
        <w:t>0</w:t>
      </w:r>
      <w:r w:rsidRPr="00FE3B7B">
        <w:rPr>
          <w:rFonts w:ascii="Times New Roman" w:hAnsi="Times New Roman" w:cs="Times New Roman"/>
          <w:sz w:val="24"/>
          <w:szCs w:val="24"/>
        </w:rPr>
        <w:t xml:space="preserve"> место (по Челябинской области уровень </w:t>
      </w:r>
      <w:r w:rsidRPr="00A12160">
        <w:rPr>
          <w:rFonts w:ascii="Times New Roman" w:hAnsi="Times New Roman" w:cs="Times New Roman"/>
          <w:sz w:val="24"/>
          <w:szCs w:val="24"/>
        </w:rPr>
        <w:t xml:space="preserve">регистрируемой безработицы составил 3,5 %). </w:t>
      </w:r>
    </w:p>
    <w:p w:rsidR="00347E08" w:rsidRPr="00A12160" w:rsidRDefault="00347E08" w:rsidP="00347E08">
      <w:pPr>
        <w:tabs>
          <w:tab w:val="left" w:pos="441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ОКУ Центром занятости населения г. Сатка реализуются отдельные мероприятия:</w:t>
      </w:r>
    </w:p>
    <w:p w:rsidR="00347E08" w:rsidRPr="00A12160" w:rsidRDefault="00347E08" w:rsidP="00347E08">
      <w:pPr>
        <w:pStyle w:val="a7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подпрограммы «Содействие занятости граждан, особо нуждающихся в социальной защите и испытывающих трудности в поиске работы», входящей в состав государственной программы Челябинской области «Содействие занятости населения Челябинской области»;</w:t>
      </w:r>
    </w:p>
    <w:p w:rsidR="00347E08" w:rsidRDefault="00347E08" w:rsidP="00347E08">
      <w:pPr>
        <w:pStyle w:val="a7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государственной программы Челябинской области «Доступная сред</w:t>
      </w:r>
      <w:r w:rsidR="00FE3B7B">
        <w:rPr>
          <w:rFonts w:ascii="Times New Roman" w:eastAsia="Calibri" w:hAnsi="Times New Roman" w:cs="Times New Roman"/>
          <w:sz w:val="24"/>
          <w:szCs w:val="24"/>
        </w:rPr>
        <w:t>а» по трудоустройству инвалидов;</w:t>
      </w:r>
    </w:p>
    <w:p w:rsidR="00FE3B7B" w:rsidRDefault="00FE3B7B" w:rsidP="00347E08">
      <w:pPr>
        <w:pStyle w:val="a7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государственная поддержка в 2021 году юридических лиц и индивидуальных предпринимателей при трудоустройстве безработных граждан.</w:t>
      </w:r>
    </w:p>
    <w:p w:rsidR="00347E08" w:rsidRPr="00490B0C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B0C">
        <w:rPr>
          <w:rFonts w:ascii="Times New Roman" w:eastAsia="Calibri" w:hAnsi="Times New Roman" w:cs="Times New Roman"/>
          <w:sz w:val="24"/>
          <w:szCs w:val="24"/>
        </w:rPr>
        <w:t xml:space="preserve">В рамках федерального проекта «Старшее поколение» национального проекта «Демография» (региональный проект «Разработка и реализация программы системной поддержки и повышения качества жизни граждан старшего поколения») служба занятости продолжает реализовывать мероприятия по организации профессионального обучения и дополнительного профессионального образования для граждан в возрасте 50-ти лет и старше, а также лиц </w:t>
      </w:r>
      <w:proofErr w:type="spellStart"/>
      <w:r w:rsidRPr="00490B0C">
        <w:rPr>
          <w:rFonts w:ascii="Times New Roman" w:eastAsia="Calibri" w:hAnsi="Times New Roman" w:cs="Times New Roman"/>
          <w:sz w:val="24"/>
          <w:szCs w:val="24"/>
        </w:rPr>
        <w:t>предпенсионного</w:t>
      </w:r>
      <w:proofErr w:type="spellEnd"/>
      <w:r w:rsidRPr="00490B0C">
        <w:rPr>
          <w:rFonts w:ascii="Times New Roman" w:eastAsia="Calibri" w:hAnsi="Times New Roman" w:cs="Times New Roman"/>
          <w:sz w:val="24"/>
          <w:szCs w:val="24"/>
        </w:rPr>
        <w:t xml:space="preserve"> возраста. Сами граждане или работодатель выбирают специальность и учебное заведение, а служба занятости компенсирует все затраты, связанные с образованием. 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B0C">
        <w:rPr>
          <w:rFonts w:ascii="Times New Roman" w:eastAsia="Calibri" w:hAnsi="Times New Roman" w:cs="Times New Roman"/>
          <w:sz w:val="24"/>
          <w:szCs w:val="24"/>
        </w:rPr>
        <w:t>Также в рамках национального проекта «Демография» женщинам, находящимся в отпуске по уходу за ребенком в возрасте до трех лет, а также женщинам, имеющим детей дошкольного возраста, не состоящим в трудовых отношениях и обратившимся в службу занятости в целях поиска работы, службой занятости предоставляется возможность бесплатно пройти профессиональное переобучение и повышение квалификации.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Кроме этого также продолжают осуществляться меры активной политики занятости населения, направленные на снижение напряженности на рынке труда и снижение рисков роста безработицы, такие как: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информирование о положении на рынке труда Челябинской области, в том числе и в электронной форме;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содействие гражданам в поиске подходящей работы, а работодателям – в подборе необходимых работников;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организация ярмарок вакансий и учебных рабочих мест;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организация профессиональной ориентации граждан, а также направление для получения профессионального образования или дополнительного профессионального образования граждан, включая обучение в другой местности;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оказание психологической поддержки безработным гражданам;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содействие безработным гражданам в переезде и </w:t>
      </w:r>
      <w:r w:rsidR="00FE3B7B" w:rsidRPr="00A12160">
        <w:rPr>
          <w:rFonts w:ascii="Times New Roman" w:eastAsia="Calibri" w:hAnsi="Times New Roman" w:cs="Times New Roman"/>
          <w:sz w:val="24"/>
          <w:szCs w:val="24"/>
        </w:rPr>
        <w:t>безработным гражданам,</w:t>
      </w: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 и членам их семей в переселении в другую местность для трудоустройства по направлению органов службы занятости;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организация временного трудоустройства и социальная адаптация безработных граждан на рынке труда;</w:t>
      </w:r>
    </w:p>
    <w:p w:rsidR="00347E08" w:rsidRPr="00A12160" w:rsidRDefault="00347E08" w:rsidP="00347E08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содействие </w:t>
      </w:r>
      <w:proofErr w:type="spellStart"/>
      <w:r w:rsidRPr="00A12160">
        <w:rPr>
          <w:rFonts w:ascii="Times New Roman" w:eastAsia="Calibri" w:hAnsi="Times New Roman" w:cs="Times New Roman"/>
          <w:sz w:val="24"/>
          <w:szCs w:val="24"/>
        </w:rPr>
        <w:t>самозанятости</w:t>
      </w:r>
      <w:proofErr w:type="spellEnd"/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 безработных граждан.</w:t>
      </w:r>
    </w:p>
    <w:p w:rsidR="00347E08" w:rsidRPr="00A12160" w:rsidRDefault="00347E08" w:rsidP="00347E08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Выполнение вышеперечисленных мероприятий в полном объеме предусматривает реализацию целей муниципальной политики в сфере социально-экономического развития района, будет способствовать повышению уровня и качества жизни населения.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Таким образом, ожидаем, что в плановом периоде 2021-2024 годов уровень безработицы составит:</w:t>
      </w:r>
    </w:p>
    <w:p w:rsidR="00347E08" w:rsidRPr="00A12160" w:rsidRDefault="00347E08" w:rsidP="00347E08">
      <w:pPr>
        <w:pStyle w:val="a7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2021 году: 2,9 % (численность зарегистрированных безработных – 890 человек);</w:t>
      </w:r>
    </w:p>
    <w:p w:rsidR="00347E08" w:rsidRPr="00A12160" w:rsidRDefault="00347E08" w:rsidP="00347E08">
      <w:pPr>
        <w:pStyle w:val="a7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2022 году: по консервативному варианту – 3,1 % (численность зарегистрированных безработных – 920 человек), по базовому варианту – 2,6 % (численность зарегистрированных безработных – 790 человек);</w:t>
      </w:r>
    </w:p>
    <w:p w:rsidR="00347E08" w:rsidRPr="00A12160" w:rsidRDefault="00347E08" w:rsidP="00347E08">
      <w:pPr>
        <w:pStyle w:val="a7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2023 году: по консервативному варианту – 2,9 % (численность зарегистрированных безработных – 850 человек), по базовому варианту – 2,4 % (численность зарегистрированных безработных – 720 человек);</w:t>
      </w:r>
    </w:p>
    <w:p w:rsidR="00347E08" w:rsidRPr="00A12160" w:rsidRDefault="00347E08" w:rsidP="00347E08">
      <w:pPr>
        <w:pStyle w:val="a7"/>
        <w:numPr>
          <w:ilvl w:val="0"/>
          <w:numId w:val="3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2024 году: по консервативному варианту – 2,6 % (численность зарегистрированных безработных – 750 человек), по базовому варианту – 2,2 % (численность зарегистрированных безработных – 650 человек).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Коэффициент напряженности на рынке труда на конец отчетного 2020 года составил 2,5</w:t>
      </w:r>
      <w:r w:rsidR="006667E5">
        <w:rPr>
          <w:rFonts w:ascii="Times New Roman" w:eastAsia="Calibri" w:hAnsi="Times New Roman" w:cs="Times New Roman"/>
          <w:sz w:val="24"/>
          <w:szCs w:val="24"/>
        </w:rPr>
        <w:t xml:space="preserve"> человек на одну заявленную вакансию -</w:t>
      </w: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 т.е. на 1 286 незанятых граждан, зарегистрированных в Центре занятости, приходилось 505 вакансий. </w:t>
      </w:r>
    </w:p>
    <w:p w:rsidR="00347E08" w:rsidRPr="00A12160" w:rsidRDefault="00347E08" w:rsidP="00347E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 xml:space="preserve">Учитывая неравномерное изменение напряженности на рынке труда в течение прошлых лет, а также текущую ситуацию в первом полугодии 2021 года – ожидаем, что данный показатель в прогнозном периоде достигнет значений: </w:t>
      </w:r>
    </w:p>
    <w:p w:rsidR="00347E08" w:rsidRPr="00A12160" w:rsidRDefault="00347E08" w:rsidP="00347E08">
      <w:pPr>
        <w:pStyle w:val="a7"/>
        <w:numPr>
          <w:ilvl w:val="0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2021 году: 2,4 человека на одну заявленную вакансию;</w:t>
      </w:r>
    </w:p>
    <w:p w:rsidR="00347E08" w:rsidRPr="00A12160" w:rsidRDefault="00347E08" w:rsidP="00347E08">
      <w:pPr>
        <w:pStyle w:val="a7"/>
        <w:numPr>
          <w:ilvl w:val="0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2022 году: по консервативному варианту – 3,1; по базовому – 2,2 человека на одну заявленную вакансию;</w:t>
      </w:r>
    </w:p>
    <w:p w:rsidR="00347E08" w:rsidRPr="00A12160" w:rsidRDefault="00347E08" w:rsidP="00347E08">
      <w:pPr>
        <w:pStyle w:val="a7"/>
        <w:numPr>
          <w:ilvl w:val="0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lastRenderedPageBreak/>
        <w:t>в 2023 году: по консервативному варианту – 2,5; по базовому – 1,9 человек на одну заявленную вакансию;</w:t>
      </w:r>
    </w:p>
    <w:p w:rsidR="00347E08" w:rsidRDefault="00347E08" w:rsidP="00347E08">
      <w:pPr>
        <w:pStyle w:val="a7"/>
        <w:numPr>
          <w:ilvl w:val="0"/>
          <w:numId w:val="2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60">
        <w:rPr>
          <w:rFonts w:ascii="Times New Roman" w:eastAsia="Calibri" w:hAnsi="Times New Roman" w:cs="Times New Roman"/>
          <w:sz w:val="24"/>
          <w:szCs w:val="24"/>
        </w:rPr>
        <w:t>в 2024 году: по консервативному варианту – 2,3; по базовому – 1,7 человек на одну заявленную вакансию.</w:t>
      </w:r>
    </w:p>
    <w:p w:rsidR="002243AF" w:rsidRDefault="002243AF" w:rsidP="002243AF">
      <w:pPr>
        <w:pStyle w:val="a7"/>
        <w:tabs>
          <w:tab w:val="left" w:pos="851"/>
        </w:tabs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501A" w:rsidRPr="00347E08" w:rsidRDefault="0098501A" w:rsidP="003C7BF1">
      <w:pPr>
        <w:pStyle w:val="a7"/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47E08">
        <w:rPr>
          <w:rFonts w:ascii="Times New Roman" w:hAnsi="Times New Roman" w:cs="Times New Roman"/>
          <w:b/>
          <w:sz w:val="24"/>
          <w:szCs w:val="28"/>
        </w:rPr>
        <w:t>Развитие социальной сферы</w:t>
      </w:r>
    </w:p>
    <w:p w:rsidR="00511FAF" w:rsidRPr="00EC138E" w:rsidRDefault="00511FAF" w:rsidP="003C7BF1">
      <w:pPr>
        <w:pStyle w:val="a7"/>
        <w:numPr>
          <w:ilvl w:val="1"/>
          <w:numId w:val="12"/>
        </w:num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38E">
        <w:rPr>
          <w:rFonts w:ascii="Times New Roman" w:hAnsi="Times New Roman" w:cs="Times New Roman"/>
          <w:sz w:val="24"/>
          <w:szCs w:val="24"/>
        </w:rPr>
        <w:t>Образование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демографической обстановке Саткинского муниципального района наблюдается тенденция к сокращению численности постоянного населения по причине миграции в другие территории, а также снижения рождаемости с 2014 года. Сравнительный анализ рождаемости показал, что с каждым последующим годом в дошкольные образовательные организации зачисляется все меньше воспитанников. По отчету о численности населения по полу и возрасту на 01.01.2020 г. в Саткинском муниципальном районе в 2016 году родилось 932 ребенка, в 2017 году – 764 ребенка, в 2018 году – 716 детей, в 2019</w:t>
      </w:r>
      <w:r w:rsidR="00737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623 ребенка. В связи с этим значение показателя «Численность детей в дошкольных образовательных учреждениях» на 2020 год было спрогнозировано 5 000 человек, но по отчету 2020 года данная численность составила 4 710 человек, на 2021 г. было спрогнозировано 4 900 человек, а количество детей составило 4 201 человек. В связи с этим планируемые показатели базового варианта были пересчитаны и умень</w:t>
      </w:r>
      <w:r w:rsidR="00347E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шены, н 2022 год и 2023 год до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3 850 человек, а на 2024 год до 3 900 человек.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Показатель «Обеспеченность дошкольными образовательными учреждениями (мест на 1 000 детей дошкольного возраста», с 2020 года был пересчитан в соответствии с действующим приказом Министерства просвещения Российской Федерации от 21 августа 2020 года № 452 «Об утверждении порядка взаимодействия региональных информационных систем, указанных в части 14 статьи 98 Федерального закона от 29 декабря 2012 г. № 273-ФЗ « Об образовании в Российской Федерации», с Федеральной информационной системой доступности дошкольного образования», в карточках возрастных групп дошкольных образовательных организаций были отредактированы сведения по нормативной наполняемости групп в соответствии с СанПиН 2.4.13049-13.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Times New Roman" w:hAnsi="Times New Roman" w:cs="Times New Roman"/>
          <w:sz w:val="24"/>
          <w:szCs w:val="24"/>
        </w:rPr>
        <w:t>В связи с этим произошло уменьшение количества мест и мощности сети дошкольных образовательных организаций в Саткинском муниципальном районе. В 2019 году количество мест было 5652, что на 922 места больше, чем в 2020 году (составляет 4730 мест). По итогам данного пересчета обеспеченность дошкольными образовательными учреждениями (мест на 1</w:t>
      </w:r>
      <w:r w:rsidR="003778A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377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детей) уменьшило и составило в базовом варианте на 2020 и 2023 гг.- 1 228,</w:t>
      </w:r>
      <w:r w:rsidR="003778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3778A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2024 г. </w:t>
      </w:r>
      <w:r w:rsidR="003778A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1 212,82.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По показателю «Численность учащихся в общеобразовательных учреждениях» наблюдается стабильная тенденция роста, но не в том объеме который планировался в предыдущий год. В 2020 году в школах района на обучении было 9 214 человек, что на 141 ребенка меньше по сравнению с планируемым на 2021 год, это связано с сокращением численности постоянного населения Саткинского муниципального района. В первые классы на начало 2020/2021 учебного года в общеобразовательные организации Саткинского муниципального района поступило на обучение 987 детей, вместо запланированных 1 050. Естественная миграция из школ района за учебный год оставило 38 обучающихся. На протяжении трех последних лет сокращается контингент в МКОУ «Детский дом-школа» (24 человек в 2019 до 17 человек в 2022 году). Наблюдается тенденция снижения набора в ступень среднего общего образования в дневные общеобразовательные школы (в 2020-2021 учебном году на обучение находилось на 21 человек меньше, чем было запланировано в 2019 году), но остается стабильным по очно-заочной форме обучения. После выполненного детального анализа в прогноз данного показателя на 2022.2023 и 2024 год были внесены изменения. Прогнозируемые значения на 2022,2023 и 2024 года базового варианта составят – 9368, 9538, 9594 </w:t>
      </w:r>
      <w:r w:rsidR="00377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человек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соответственно. Настоящий рост детей школьного возраста обусловлен всплеском рождаемости в период с 2008 года по 2014 год. Сравнительный анализ показал, что с каждым следующим годом в начальную школу детей приходит больше, чем выпускается учащихся 9-ых классов, данная разница диктует прирост контингента в общеобразовательных организациях Саткинского муниципального района. Так, в 2018 году выпускников 9-ых классов было 792 человека, в первый класс пришло 990 человек, в 2019 году 860 выпускников</w:t>
      </w:r>
      <w:r w:rsidR="00377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1 018 первоклассников, в 2020 году 839 выпускников</w:t>
      </w:r>
      <w:r w:rsidR="003778A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986 первоклассников, в 2021 году планируется 796 выпускников и 950 первоклассников. Но с 2024 года будет наблюдаться обратная тенденция, число выпускников будет превышать количество первоклассников, что повлечет сокращение контингента в школах. 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Показатель «Численность обучающихся в первую смену в дневных учреждениях общего образования в % к общему числу обучающихся в этих учреждениях» по городу напрямую зависит о количества школьников, занимающихся во вторую смену. Анализируя контингент обучающихся за три последних года, можно отдельно отметить две школы района, занимающиеся в две смены. Данные школы МАОУ «СОШ № 5» и МОУ «СОШ       № 14» расположены в наиболее густонаселенных районах города Сатка. Численность обучающихся в них значительно выросла по сравнению с другими школами города и составила в 2018 году 983 человека (2019 г. – 963 человека) и 826 человек (2021 г. – 785 человек) соответственно. Этот фактор увеличил численность детей,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занимающихся во вторую смену до 533 учеников вместо 459 планируемых. Оценка данной ситуации показала снижение рассматриваемого показателя в 2021 году по городу до 93,97% вместо 94,88% запланированных и потребовала корректировки на последующие годы. Прогнозируемые значения на 2022, 2023 и 2024 года базового варианта составят – 94,05%, 94,05% и 94,</w:t>
      </w:r>
      <w:r w:rsidR="003778A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6% соответственно.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Показатель «Численность обучающихся в первую смену в дневных учреждениях общего образования в % отношении к общему числу обучающихся» в учреждениях сельской местности будет сохраняться на 100% уровне, так как, по проведенной оценке, школы сельских территорий будут укомплектованы контингентом учащихся на прежнем уровне. Естественная миграция из этих территорий компенсируется увеличением численности обучающихся ростом рождаемости. 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Общий прогнозируемый % численности, обучающихся в первую смену в дневных учреждениях общего образования в % к общему числу обучающихся в этих учреждениях рассчитывается суммарно по городским и сельским поселениям. Учитывая вышеизложенное факторы в 2021 году, он составит 94,12% вместо 95,01% запланированного, прогнозируемые значения на 2022, 2023 и 2024 года базового варианта составят – 94,19%, 94,19% и 94,20% соответственно.</w:t>
      </w:r>
    </w:p>
    <w:p w:rsidR="00EC138E" w:rsidRDefault="00EC138E" w:rsidP="00EC138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начало 2020/21 учебного года на территории Саткинского муниципального района действуют четыре учреждения среднего профессионального образования, в состав которых вошли ГБПОУ «</w:t>
      </w:r>
      <w:proofErr w:type="spellStart"/>
      <w:r>
        <w:rPr>
          <w:rFonts w:ascii="Times New Roman" w:hAnsi="Times New Roman" w:cs="Times New Roman"/>
          <w:sz w:val="24"/>
        </w:rPr>
        <w:t>Саткинский</w:t>
      </w:r>
      <w:proofErr w:type="spellEnd"/>
      <w:r>
        <w:rPr>
          <w:rFonts w:ascii="Times New Roman" w:hAnsi="Times New Roman" w:cs="Times New Roman"/>
          <w:sz w:val="24"/>
        </w:rPr>
        <w:t xml:space="preserve"> медицинский техникум», «</w:t>
      </w:r>
      <w:proofErr w:type="spellStart"/>
      <w:r>
        <w:rPr>
          <w:rFonts w:ascii="Times New Roman" w:hAnsi="Times New Roman" w:cs="Times New Roman"/>
          <w:sz w:val="24"/>
        </w:rPr>
        <w:t>Саткинский</w:t>
      </w:r>
      <w:proofErr w:type="spellEnd"/>
      <w:r>
        <w:rPr>
          <w:rFonts w:ascii="Times New Roman" w:hAnsi="Times New Roman" w:cs="Times New Roman"/>
          <w:sz w:val="24"/>
        </w:rPr>
        <w:t xml:space="preserve"> горно-керамический колледж» (филиал ФГАОУ ВО «</w:t>
      </w:r>
      <w:proofErr w:type="spellStart"/>
      <w:r>
        <w:rPr>
          <w:rFonts w:ascii="Times New Roman" w:hAnsi="Times New Roman" w:cs="Times New Roman"/>
          <w:sz w:val="24"/>
        </w:rPr>
        <w:t>ЮУрГУ</w:t>
      </w:r>
      <w:proofErr w:type="spellEnd"/>
      <w:r>
        <w:rPr>
          <w:rFonts w:ascii="Times New Roman" w:hAnsi="Times New Roman" w:cs="Times New Roman"/>
          <w:sz w:val="24"/>
        </w:rPr>
        <w:t xml:space="preserve"> (НИУ) в г. </w:t>
      </w:r>
      <w:proofErr w:type="spellStart"/>
      <w:r>
        <w:rPr>
          <w:rFonts w:ascii="Times New Roman" w:hAnsi="Times New Roman" w:cs="Times New Roman"/>
          <w:sz w:val="24"/>
        </w:rPr>
        <w:t>Сатка</w:t>
      </w:r>
      <w:proofErr w:type="spellEnd"/>
      <w:r>
        <w:rPr>
          <w:rFonts w:ascii="Times New Roman" w:hAnsi="Times New Roman" w:cs="Times New Roman"/>
          <w:sz w:val="24"/>
        </w:rPr>
        <w:t>), ГБПОУ «</w:t>
      </w:r>
      <w:proofErr w:type="spellStart"/>
      <w:r>
        <w:rPr>
          <w:rFonts w:ascii="Times New Roman" w:hAnsi="Times New Roman" w:cs="Times New Roman"/>
          <w:sz w:val="24"/>
        </w:rPr>
        <w:t>Саткинский</w:t>
      </w:r>
      <w:proofErr w:type="spellEnd"/>
      <w:r>
        <w:rPr>
          <w:rFonts w:ascii="Times New Roman" w:hAnsi="Times New Roman" w:cs="Times New Roman"/>
          <w:sz w:val="24"/>
        </w:rPr>
        <w:t xml:space="preserve"> политехнический колледж им. А.К. Савина», ГБПОУ «</w:t>
      </w:r>
      <w:proofErr w:type="spellStart"/>
      <w:r>
        <w:rPr>
          <w:rFonts w:ascii="Times New Roman" w:hAnsi="Times New Roman" w:cs="Times New Roman"/>
          <w:sz w:val="24"/>
        </w:rPr>
        <w:t>Бакальский</w:t>
      </w:r>
      <w:proofErr w:type="spellEnd"/>
      <w:r>
        <w:rPr>
          <w:rFonts w:ascii="Times New Roman" w:hAnsi="Times New Roman" w:cs="Times New Roman"/>
          <w:sz w:val="24"/>
        </w:rPr>
        <w:t xml:space="preserve"> техникум профессиональных технологий и сервиса им. М.Г. Ганиева». С 1 февраля 2021 года юридически произошла ликвидация Саткинского горно-керамического колледжа (филиал ФГАОУ ВО «</w:t>
      </w:r>
      <w:proofErr w:type="spellStart"/>
      <w:r>
        <w:rPr>
          <w:rFonts w:ascii="Times New Roman" w:hAnsi="Times New Roman" w:cs="Times New Roman"/>
          <w:sz w:val="24"/>
        </w:rPr>
        <w:t>ЮУрГУ</w:t>
      </w:r>
      <w:proofErr w:type="spellEnd"/>
      <w:r>
        <w:rPr>
          <w:rFonts w:ascii="Times New Roman" w:hAnsi="Times New Roman" w:cs="Times New Roman"/>
          <w:sz w:val="24"/>
        </w:rPr>
        <w:t xml:space="preserve"> (НИУ) в г. Сатка). Студенты, педагоги и другие сотрудники учебного заведения перешли в состав политехнического колледжа им. А.К. Савина. В таблице ниже студенты горно-керамического колледжа учтены в данных политехнического техникума.</w:t>
      </w:r>
    </w:p>
    <w:p w:rsidR="00EC138E" w:rsidRDefault="00EC138E" w:rsidP="00EC138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ГБПОУ «</w:t>
      </w:r>
      <w:proofErr w:type="spellStart"/>
      <w:r>
        <w:rPr>
          <w:rFonts w:ascii="Times New Roman" w:hAnsi="Times New Roman" w:cs="Times New Roman"/>
          <w:sz w:val="24"/>
        </w:rPr>
        <w:t>Саткинский</w:t>
      </w:r>
      <w:proofErr w:type="spellEnd"/>
      <w:r>
        <w:rPr>
          <w:rFonts w:ascii="Times New Roman" w:hAnsi="Times New Roman" w:cs="Times New Roman"/>
          <w:sz w:val="24"/>
        </w:rPr>
        <w:t xml:space="preserve"> политехнический техникум им. Савина» и ГБПОУ «</w:t>
      </w:r>
      <w:proofErr w:type="spellStart"/>
      <w:r>
        <w:rPr>
          <w:rFonts w:ascii="Times New Roman" w:hAnsi="Times New Roman" w:cs="Times New Roman"/>
          <w:sz w:val="24"/>
        </w:rPr>
        <w:t>Бакальский</w:t>
      </w:r>
      <w:proofErr w:type="spellEnd"/>
      <w:r>
        <w:rPr>
          <w:rFonts w:ascii="Times New Roman" w:hAnsi="Times New Roman" w:cs="Times New Roman"/>
          <w:sz w:val="24"/>
        </w:rPr>
        <w:t xml:space="preserve"> техникум профессиональных технологий и сервиса» реализуют программы как среднего профессионального, так и начального профессионального образования.</w:t>
      </w:r>
    </w:p>
    <w:p w:rsidR="00EC138E" w:rsidRDefault="00EC138E" w:rsidP="00EC138E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Общая численность учащихся учреждений СПО составила 2243 человек, из которых 1847 студентов (82,3%), обучаются по программе среднего профессионального образования, что на 58 человек, или восемь процентов выше уровня прошлого года, </w:t>
      </w:r>
      <w:r>
        <w:rPr>
          <w:rFonts w:ascii="Times New Roman" w:hAnsi="Times New Roman" w:cs="Times New Roman"/>
          <w:sz w:val="24"/>
        </w:rPr>
        <w:lastRenderedPageBreak/>
        <w:t>начальное же профессиональное образование получают 396 человек, что на 17,5 процента выше уровня прошлого года.</w:t>
      </w:r>
    </w:p>
    <w:p w:rsidR="00EC138E" w:rsidRDefault="00EC138E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сравнении с прошлым годом, число выпускников, окончивших учреждения начального профессионального образования, уменьшилось на 43,2 процента или на 67 студентов и составило 51 человек. Данное снижение связано с тем, что в 2020 году данная категория студентов в ГБПОУ «</w:t>
      </w:r>
      <w:proofErr w:type="spellStart"/>
      <w:r>
        <w:rPr>
          <w:rFonts w:ascii="Times New Roman" w:hAnsi="Times New Roman" w:cs="Times New Roman"/>
          <w:sz w:val="24"/>
        </w:rPr>
        <w:t>Бакальский</w:t>
      </w:r>
      <w:proofErr w:type="spellEnd"/>
      <w:r>
        <w:rPr>
          <w:rFonts w:ascii="Times New Roman" w:hAnsi="Times New Roman" w:cs="Times New Roman"/>
          <w:sz w:val="24"/>
        </w:rPr>
        <w:t xml:space="preserve"> техникум профессиональных технологий и сервиса им. М.Г. Ганиева» перешли на 4-х летнее обучение вместо 3-х летнего. Число выпускников, окончивших учреждения среднего профессионального образования составила 351 человек.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Численность учащихся, обучающихся по программе среднего профессионального образования, на начало 2019/2020 года составила 1 847 студентов; в 2020/2021 году – 1 847 человек. Начальное профессиональное образование получали в 2019/2020 году 396 человек; в 2020/2021 году – 396 человек. В прогнозном периоде до 2024 года планируется сохранение значений данных показателей на уровне 2020/2021 учебного года.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Число выпускников, окончивших учреждения среднего профессионального образования, обучающихся по программе среднего профессионального образования составило 351 человек, что на 24 человек меньше уровня прошлого года; по программе начального профессионального образования – уменьшилось на 67 студентов, по сравнению с прошлым годом, и составило 51 человек. Планируется, что в прогнозном периоде значения данных показателей сохранятся на этом же уровне.</w:t>
      </w:r>
    </w:p>
    <w:p w:rsidR="00EC138E" w:rsidRDefault="00EC138E" w:rsidP="00EC138E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11FAF" w:rsidRPr="00EC138E" w:rsidRDefault="00511FAF" w:rsidP="00C40E95">
      <w:pPr>
        <w:pStyle w:val="a7"/>
        <w:numPr>
          <w:ilvl w:val="1"/>
          <w:numId w:val="12"/>
        </w:num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38E">
        <w:rPr>
          <w:rFonts w:ascii="Times New Roman" w:hAnsi="Times New Roman" w:cs="Times New Roman"/>
          <w:sz w:val="24"/>
          <w:szCs w:val="24"/>
        </w:rPr>
        <w:t>Здравоохранение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Сеть лечебно-профилактических учреждений Саткинского муниципального района представлена учреждениями различных организационно-правовых форм и форм собственности, включая учреждения Министерства здравоохранения Челябинской области, прочих министерств и ведомств, негосударственное лечебно-профилактическое учреждение.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ведомстве Министерства здравоохранения Челябинской области находятся следующие лечебно-профилактические учреждения района: ГБУЗ «Районная больница                     г. Сатка», 11 фельдшерско-акушерских пунктов, а также амбулаторно-поликлиническое отделение № 2 ГБУЗ «Областной кожно-венерологический диспансер № 6» в г. Сатка и обособленное подразделение ГБУЗ «Областная туберкулезная больница № 2» (обособленное подразделение в г. Бакал).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Также в районе действует одно негосударственное лечебно-профилактическое учреждение ООО «Медико-профилактический центр».</w:t>
      </w:r>
    </w:p>
    <w:p w:rsidR="00EC138E" w:rsidRDefault="00EC138E" w:rsidP="003C7BF1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</w:rPr>
        <w:lastRenderedPageBreak/>
        <w:t>Обеспеченность населения больничными койками (круглосуточных стационаров)                       в 2020 году составила 79,2 коек на 10 тыс. жителей.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связи со снижением численности постоянного населения ожидается, что в прогнозном периоде 2022-2024 годов обеспеченность койками составит:</w:t>
      </w:r>
    </w:p>
    <w:p w:rsidR="00EC138E" w:rsidRDefault="00EC138E" w:rsidP="00EC138E">
      <w:pPr>
        <w:pStyle w:val="a7"/>
        <w:numPr>
          <w:ilvl w:val="0"/>
          <w:numId w:val="4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2021 год: 80,2 койки на 10 тыс. населения;</w:t>
      </w:r>
    </w:p>
    <w:p w:rsidR="00EC138E" w:rsidRDefault="00EC138E" w:rsidP="00EC138E">
      <w:pPr>
        <w:pStyle w:val="a7"/>
        <w:numPr>
          <w:ilvl w:val="0"/>
          <w:numId w:val="4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2022 год: по консервативному варианту – 81,</w:t>
      </w:r>
      <w:r w:rsidR="00944B5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; по базовому – 81,</w:t>
      </w:r>
      <w:r w:rsidR="00944B5B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койки на 10 тыс. населения; </w:t>
      </w:r>
    </w:p>
    <w:p w:rsidR="00EC138E" w:rsidRDefault="00EC138E" w:rsidP="00EC138E">
      <w:pPr>
        <w:pStyle w:val="a7"/>
        <w:numPr>
          <w:ilvl w:val="0"/>
          <w:numId w:val="4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2023 год: по консервативному варианту – 81,</w:t>
      </w:r>
      <w:r w:rsidR="00944B5B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; по базовому – 81,</w:t>
      </w:r>
      <w:r w:rsidR="00944B5B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койки на 10 тыс. населения; </w:t>
      </w:r>
    </w:p>
    <w:p w:rsidR="00EC138E" w:rsidRDefault="00EC138E" w:rsidP="00EC138E">
      <w:pPr>
        <w:pStyle w:val="a7"/>
        <w:numPr>
          <w:ilvl w:val="0"/>
          <w:numId w:val="4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2024 год: по консервативному варианту – 82,</w:t>
      </w:r>
      <w:r w:rsidR="00944B5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; по базовому – 8</w:t>
      </w:r>
      <w:r w:rsidR="00944B5B">
        <w:rPr>
          <w:rFonts w:ascii="Times New Roman" w:hAnsi="Times New Roman" w:cs="Times New Roman"/>
          <w:sz w:val="24"/>
        </w:rPr>
        <w:t>1,6</w:t>
      </w:r>
      <w:r>
        <w:rPr>
          <w:rFonts w:ascii="Times New Roman" w:hAnsi="Times New Roman" w:cs="Times New Roman"/>
          <w:sz w:val="24"/>
        </w:rPr>
        <w:t xml:space="preserve"> койки на 10 тыс. населения.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Обеспеченность населения амбулаторно-поликлиническими учреждениями в расчете на 10 тыс. жителей по итогам 2019 года составила 348,2 посещений в смену, в 2020 году – 648,4. 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Ожидается, что данный показатель в плановом периоде 2021-2024 годов составит: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2021 год: 656,9 посещений в смену на 10 тыс. населения;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2022 год: по консервативному варианту – 664,7; по базовому – 663,8 посещений в смену на 10 тыс. населения;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2023 год: по консервативному варианту – 671,5; по базовому – 668,2 посещений в смену на 10 тыс. населения;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2024 год: по консервативному варианту – 677,5; по базовому – 671,3 посещений в смену на 10 тыс. населения.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Численность врачей всех специальностей, оказывающих амбулаторно-поликлиническую помощь населению района, приходящаяся на 10 тыс. населения, проживающего на территории района, в 2019 году составила 18,6 врачей, в 2020 году – 19,2.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Учитывая снижение численности постоянного населения, ожидается, что в прогнозном периоде 2021-2024 годов обеспеченность врачами увеличится и составит: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2021 год: 19,5 врачей на 10 тыс. населения;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2022 год: по консервативному варианту – 19,7; по базовому – 19,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врачей на 10 тыс. населения;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2023 год: по консервативному вар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ианту – 19,9; по базовому – 19,7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врачей на 10 тыс. населения;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202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год: по консервативному варианту – 20,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; по базовому – 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19,8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врачей на 10 тыс. населения.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течение 2020 года в районе было зарегистрировано 77,2 тыс. больных, обратившихся в лечебные учреждения с различными заболеваниями, из них с диагнозом, установленным впервые в жизни, – 66,6 тыс. человек, что составляет 86,3 % от общего числа обратившихся больных. По сравнению с 2019 годом число больных с впервые установленным диагнозом увеличилось на 9,5 тыс. человек (или на 16,6 %). Наибольшее увеличение отмечено по таким видам заболеваний, как болезни уха 91,6 % и болезни органов пищеварения на 66,4 %.                            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общем числе зарегистрированных заболеваний с впервые установленным диагнозом в отчетном году наибольший удельный вес пришелся на детей от нуля до 14 лет – 41,2 % или 27 447 случаев, спад числа данной категории к прошлому году составил 3,6 %. Число случаев заболевания взрослого населения также увеличилось – на 35,9 % и составило 35 346 случаев. Число заболеваний среди подростков 15-17 лет составило 3 814 эпизодов, по сравнению с прошлым годом увеличилось на 43,2 %.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Таким образом, число заболеваний с впервые установленным диагнозом, из расчета                    1 случай на 1 000 человек населения, по итогам 2020 года составило 859,9 (в 2019 году – 728,8). 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плановом периоде 2021-2024 годов ожидается, что данный показатель достигнет значений: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2021 год: 780,8 единиц на 1 000 человек населения;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2022 год: по консервативному варианту – 763,0; по базовому – 762,7 единиц на 1 000 человек населения;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год: по консервативному варианту – 759,9; по базовому – 758,1 единиц на 1 000 человек населения;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</w:t>
      </w:r>
      <w:r w:rsidR="00944B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год: по консервативному варианту – 756,8; по базовому – 755,0 единиц на 1 000 человек населения.</w:t>
      </w:r>
    </w:p>
    <w:p w:rsidR="00EC138E" w:rsidRDefault="00EC138E" w:rsidP="00EC138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 расчете прогнозных значений учитывалась тенденция снижения численности населения в районе. </w:t>
      </w:r>
    </w:p>
    <w:p w:rsidR="00EC138E" w:rsidRDefault="00EC138E" w:rsidP="00511FAF">
      <w:pPr>
        <w:pStyle w:val="a7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1FAF" w:rsidRPr="00EC138E" w:rsidRDefault="00511FAF" w:rsidP="00C40E95">
      <w:pPr>
        <w:pStyle w:val="a7"/>
        <w:numPr>
          <w:ilvl w:val="1"/>
          <w:numId w:val="12"/>
        </w:num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38E">
        <w:rPr>
          <w:rFonts w:ascii="Times New Roman" w:hAnsi="Times New Roman" w:cs="Times New Roman"/>
          <w:sz w:val="24"/>
          <w:szCs w:val="24"/>
        </w:rPr>
        <w:t>Культура</w:t>
      </w:r>
      <w:r w:rsidR="00CC7393" w:rsidRPr="00EC138E">
        <w:rPr>
          <w:rFonts w:ascii="Times New Roman" w:hAnsi="Times New Roman" w:cs="Times New Roman"/>
          <w:sz w:val="24"/>
          <w:szCs w:val="24"/>
        </w:rPr>
        <w:t xml:space="preserve"> и туризм</w:t>
      </w:r>
    </w:p>
    <w:p w:rsidR="00EC138E" w:rsidRPr="00EC138E" w:rsidRDefault="00EC138E" w:rsidP="00EC138E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C138E">
        <w:rPr>
          <w:rFonts w:ascii="Times New Roman" w:eastAsia="Calibri" w:hAnsi="Times New Roman" w:cs="Times New Roman"/>
          <w:sz w:val="24"/>
          <w:szCs w:val="28"/>
        </w:rPr>
        <w:t xml:space="preserve">В сфере культуры и дополнительного образования, в соответствии с нормативными потребностями, в Саткинском муниципальном районе в 2019 году функционировало 40 учреждения культуры: 13 учреждений культурно-досугового типа, 19 библиотек, 5 ДШИ, 1 музей, МБУ «Центр туризма и гостеприимства», МКУ «Управление культуры» </w:t>
      </w:r>
      <w:r w:rsidRPr="00EC138E">
        <w:rPr>
          <w:rFonts w:ascii="Times New Roman" w:eastAsia="Calibri" w:hAnsi="Times New Roman" w:cs="Times New Roman"/>
          <w:sz w:val="24"/>
          <w:szCs w:val="28"/>
        </w:rPr>
        <w:lastRenderedPageBreak/>
        <w:t>Саткинского муниципального района (в состав которого входит отдел нестационарного обслуживания).  В отчетном 2020 году функционировало аналогичное количество учреждений культуры. В прогнозном периоде 2021-2024 годов количество учреждений культуры изменится, в связи с тем, что с 01.01.2021 года МБУ «Центр туризма и гостеприимства» полномочия учредителя передали в Администрации Саткинского муниципального района.</w:t>
      </w:r>
    </w:p>
    <w:p w:rsidR="00EC138E" w:rsidRPr="00EC138E" w:rsidRDefault="00EC138E" w:rsidP="00EC138E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C138E">
        <w:rPr>
          <w:rFonts w:ascii="Times New Roman" w:eastAsia="Calibri" w:hAnsi="Times New Roman" w:cs="Times New Roman"/>
          <w:sz w:val="24"/>
          <w:szCs w:val="28"/>
        </w:rPr>
        <w:t xml:space="preserve"> Обеспеченность общедоступными библиотеками по итогам отчетного 2020 года составила 2,5 библиотеки на 10 тыс. населения. По оценке 2021 года ожидается сохранение значения данного показателя на уровне 2,5. В связи со снижением численности постоянного населения в прогнозном периоде на 2022-2024 годы, значение показателя обеспеченность общедоступными библиотеками увеличится и ежегодно составит 2,5 библиотеки на 10 тыс. населения, за исключением 2024 года консервативного варианта, где показатель составит 2,6. </w:t>
      </w:r>
    </w:p>
    <w:p w:rsidR="00EC138E" w:rsidRPr="00EC138E" w:rsidRDefault="00EC138E" w:rsidP="00EC138E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C138E">
        <w:rPr>
          <w:rFonts w:ascii="Times New Roman" w:eastAsia="Calibri" w:hAnsi="Times New Roman" w:cs="Times New Roman"/>
          <w:sz w:val="24"/>
          <w:szCs w:val="28"/>
        </w:rPr>
        <w:t>Обеспеченность учреждениями культурно-досугового типа из расчета 1 учреждение на 10 тыс. населения по отчету 2020 года составила 1,7 учреждений. По оценке 2021 года и в прогнозном периоде на 2022-2023 годов, данный показатель сохранится на уровне 2020 года. Оценка прогнозного 2024 года составит 1,8.</w:t>
      </w:r>
    </w:p>
    <w:p w:rsidR="00EC138E" w:rsidRDefault="00EC138E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«Центр туризма и гостеприимства» Саткинского муниципального района ведет информационно-консультационное обслуживание в сфере туризма по обращениям физических и юридических лиц в соответствии с Уставом учреждения, муниципальным заданием, а также Административным регламентом по предоставлению муниципальной услуги.  </w:t>
      </w:r>
    </w:p>
    <w:p w:rsidR="00EC138E" w:rsidRDefault="00EC138E" w:rsidP="00EC138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муниципальная услуга предоставляется на информационной стойке в офисе, по телефону, по письменному обращению, по электронной почте, а также на открытых и закрытых площадках выездных мероприятий (выставках, съездах, форумах, информационных турах и т.д.).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Количество обращений, посещений (внутренний туризм) по итогам 2019 года составило 12,6 тыс. человек, за отчетный 2020 год – 9,2 тыс. человек. По оценке 2021 года, в связи с стабилизацией экономической ситуации вследствие распространения новой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инфекции, возможно увеличение количества обращений, посещений (внутренний туризм) до 16,0 тыс. обращений.</w:t>
      </w:r>
    </w:p>
    <w:p w:rsidR="00EC138E" w:rsidRDefault="00EC138E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«Прогноз социально-экономического развития Саткинского муниципального района на 2022 год и плановый период до 2024 года» указано два варианта прогноза: консервативный (плановый минимальный показатель); базовый.</w:t>
      </w:r>
    </w:p>
    <w:p w:rsidR="00EC138E" w:rsidRDefault="00EC138E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Консервативный вариант рассматривает сценарий в условиях низкой динамики развития внутреннего и въездного туризма как в Саткинском районе, так и России в целом.</w:t>
      </w:r>
    </w:p>
    <w:p w:rsidR="00EC138E" w:rsidRDefault="00EC138E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вариант основан на более устойчивом развитии туризма на территории района. Кроме того, базовый показатель может значительно изменяться в сторону роста в зависимости от финансирования деятельности МБУ «Центр туризма и гостеприимства», возможности развивать различные виды туризма, например, событийного (масштабные мероприятия различной направленности), привлекая, тем самым, огромный интерес граждан к нашему району. Большую роль в увеличении этих показателей, играет и участие Центра туризма и гостеприимства в различных выездных мероприятиях (выставках, съездах, форумах, информационных турах и т.д.), что также зависит от финансирования.</w:t>
      </w:r>
    </w:p>
    <w:p w:rsidR="004266DD" w:rsidRDefault="004266DD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66DD" w:rsidRDefault="004266DD" w:rsidP="00EC1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138E" w:rsidRDefault="00EC138E" w:rsidP="00EC138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Количество обращений, посещений (внутренний туризм) прогнозируется: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4266DD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год: по консервативному варианту – 16,0; по базовому – 17,0;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4266DD">
        <w:rPr>
          <w:rFonts w:ascii="Times New Roman" w:hAnsi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год: по консервативному варианту – 17,0; по базовому – 18,0; </w:t>
      </w:r>
    </w:p>
    <w:p w:rsidR="00EC138E" w:rsidRDefault="00EC138E" w:rsidP="00EC138E">
      <w:pPr>
        <w:numPr>
          <w:ilvl w:val="0"/>
          <w:numId w:val="4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4266DD">
        <w:rPr>
          <w:rFonts w:ascii="Times New Roman" w:hAnsi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год: по консервативному варианту – 18,0; по базовому – 19,0.</w:t>
      </w:r>
    </w:p>
    <w:p w:rsidR="00EC138E" w:rsidRDefault="00EC138E" w:rsidP="00110446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C7393" w:rsidRPr="00490B0C" w:rsidRDefault="00CC7393" w:rsidP="009D4317">
      <w:pPr>
        <w:pStyle w:val="a7"/>
        <w:numPr>
          <w:ilvl w:val="1"/>
          <w:numId w:val="12"/>
        </w:numPr>
        <w:spacing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90B0C">
        <w:rPr>
          <w:rFonts w:ascii="Times New Roman" w:hAnsi="Times New Roman" w:cs="Times New Roman"/>
          <w:sz w:val="24"/>
          <w:szCs w:val="28"/>
        </w:rPr>
        <w:t xml:space="preserve">Ввод в эксплуатацию жилых домов </w:t>
      </w:r>
      <w:r w:rsidR="004414BC" w:rsidRPr="00490B0C">
        <w:rPr>
          <w:rFonts w:ascii="Times New Roman" w:hAnsi="Times New Roman" w:cs="Times New Roman"/>
          <w:sz w:val="24"/>
          <w:szCs w:val="28"/>
        </w:rPr>
        <w:t>з</w:t>
      </w:r>
      <w:r w:rsidRPr="00490B0C">
        <w:rPr>
          <w:rFonts w:ascii="Times New Roman" w:hAnsi="Times New Roman" w:cs="Times New Roman"/>
          <w:sz w:val="24"/>
          <w:szCs w:val="28"/>
        </w:rPr>
        <w:t>а счет всех источников финансирования</w:t>
      </w:r>
    </w:p>
    <w:p w:rsidR="008D3FE4" w:rsidRPr="004266DD" w:rsidRDefault="008D3FE4" w:rsidP="008D3FE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2019 году введено в эксплуатацию жилых домов за счет всех источников финансирования общей площадью 19,4 тыс. кв. метров, в том числе 9,08 тыс. кв. метров индивидуального жилья и 10,34 тыс. кв. метров многоквартирного дома в г. Сатка ул. Металлургов д.25.</w:t>
      </w:r>
    </w:p>
    <w:p w:rsidR="008D3FE4" w:rsidRPr="004266DD" w:rsidRDefault="008D3FE4" w:rsidP="008D3FE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реализации программы «Обеспечение доступным и комфортным жильем граждан Саткинского муниципального района» подпрограммы «Мероприятия по переселению граждан из аварийного жилищного фонда» осуществляется ввод многоквартирных домов на территории района.</w:t>
      </w:r>
    </w:p>
    <w:p w:rsidR="00055998" w:rsidRPr="004266DD" w:rsidRDefault="008D3FE4" w:rsidP="000559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2020 году введено в эксплуатацию 12,09 тыс.кв.м. индивидуального жилья.</w:t>
      </w:r>
      <w:r w:rsidR="00055998"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2021 году ожидается ввести в эксплуатацию 12,1 тыс. кв.м. индивидуального жилья. </w:t>
      </w:r>
    </w:p>
    <w:p w:rsidR="00055998" w:rsidRPr="004266DD" w:rsidRDefault="008D3FE4" w:rsidP="000559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2022 году ожидается построить</w:t>
      </w:r>
      <w:r w:rsidRPr="004266DD">
        <w:rPr>
          <w:rFonts w:ascii="Times New Roman" w:eastAsia="Calibri" w:hAnsi="Times New Roman" w:cs="Times New Roman"/>
          <w:sz w:val="24"/>
          <w:szCs w:val="24"/>
        </w:rPr>
        <w:t xml:space="preserve">: по консервативному варианту –14,0 тыс. кв.м., в </w:t>
      </w: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числе индивидуального жилья -7,0 тыс. кв.м</w:t>
      </w:r>
      <w:r w:rsidRPr="004266DD">
        <w:rPr>
          <w:rFonts w:ascii="Times New Roman" w:eastAsia="Calibri" w:hAnsi="Times New Roman" w:cs="Times New Roman"/>
          <w:sz w:val="24"/>
          <w:szCs w:val="24"/>
        </w:rPr>
        <w:t>.; по базовому варианту – 18,2 тыс. кв.м.</w:t>
      </w:r>
      <w:r w:rsidR="00055998" w:rsidRPr="004266D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266D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 числе индивидуального жилья - 7,10 тыс. кв.м. В 2022 году запланировано строительство и ввод в эксплуатацию мног</w:t>
      </w:r>
      <w:r w:rsidR="00055998"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оквартирного дома в г. Бакал. </w:t>
      </w:r>
    </w:p>
    <w:p w:rsidR="00055998" w:rsidRPr="004266DD" w:rsidRDefault="008D3FE4" w:rsidP="000559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2023 году ожидается построить: по консервативному варианту – 15,0 тыс. кв.м., в том числе индивидуального жилья -7,3 тыс. кв.м.; по базовому варианту – 19,3 тыс. кв.м., в том числе индивидуального жилья - 8,20 тыс. кв.м. В 2023 году запланировано строительство и ввод в эксплуатацию многоквартирного дома в п. Межевом.</w:t>
      </w:r>
      <w:r w:rsidR="00055998"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3FE4" w:rsidRPr="004266DD" w:rsidRDefault="008D3FE4" w:rsidP="000559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2024 году ожидается ввести в эксплуатацию: по консервативному варианту – 15,5                   тыс. кв.м., в том числе индивидуального жилья -7,5 тыс. кв.м.; по базовому варианту – 19,5 тыс. кв.м., в том числе индивидуального жилья   - 8,30 тыс. кв.м.</w:t>
      </w:r>
    </w:p>
    <w:p w:rsidR="008D3FE4" w:rsidRDefault="008D3FE4" w:rsidP="008D3FE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Увеличение объемов жилищного строительства с 2022 по 2023 года будет обеспечиваться за счет средств населения и реализации муниципальной программы «Обеспечение доступным и комфортным жильем граждан Российской Федерации в Саткинском муниципальном районе, подпрограммы «Мероприятия по переселению граждан из жилищного фонда, признанного непригодным для проживания».</w:t>
      </w:r>
    </w:p>
    <w:p w:rsidR="002243AF" w:rsidRDefault="002243AF" w:rsidP="008D3FE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66DD" w:rsidRPr="008D3FE4" w:rsidRDefault="004266DD" w:rsidP="008D3FE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7393" w:rsidRDefault="00CC7393" w:rsidP="00C40E95">
      <w:pPr>
        <w:pStyle w:val="a7"/>
        <w:numPr>
          <w:ilvl w:val="1"/>
          <w:numId w:val="12"/>
        </w:numPr>
        <w:jc w:val="center"/>
        <w:rPr>
          <w:rFonts w:ascii="Times New Roman" w:hAnsi="Times New Roman" w:cs="Times New Roman"/>
          <w:sz w:val="24"/>
          <w:szCs w:val="28"/>
        </w:rPr>
      </w:pPr>
      <w:r w:rsidRPr="006B232A">
        <w:rPr>
          <w:rFonts w:ascii="Times New Roman" w:hAnsi="Times New Roman" w:cs="Times New Roman"/>
          <w:sz w:val="24"/>
          <w:szCs w:val="28"/>
        </w:rPr>
        <w:t>Жилищно-коммунальные услуги, пре</w:t>
      </w:r>
      <w:r w:rsidR="008321C9" w:rsidRPr="006B232A">
        <w:rPr>
          <w:rFonts w:ascii="Times New Roman" w:hAnsi="Times New Roman" w:cs="Times New Roman"/>
          <w:sz w:val="24"/>
          <w:szCs w:val="28"/>
        </w:rPr>
        <w:t>доставляемые населению</w:t>
      </w:r>
    </w:p>
    <w:p w:rsidR="008D3FE4" w:rsidRDefault="008D3FE4" w:rsidP="008D3FE4">
      <w:pPr>
        <w:pStyle w:val="a7"/>
        <w:ind w:left="0"/>
        <w:rPr>
          <w:rFonts w:ascii="Times New Roman" w:hAnsi="Times New Roman" w:cs="Times New Roman"/>
          <w:b/>
          <w:i/>
          <w:sz w:val="24"/>
          <w:szCs w:val="28"/>
        </w:rPr>
      </w:pPr>
    </w:p>
    <w:p w:rsidR="008D3FE4" w:rsidRPr="008D3FE4" w:rsidRDefault="008D3FE4" w:rsidP="008D3FE4">
      <w:pPr>
        <w:pStyle w:val="a7"/>
        <w:ind w:left="567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Полная стоимость жилищно-коммунальных услуг, предоставляемых населению</w:t>
      </w:r>
    </w:p>
    <w:p w:rsidR="004266DD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Полная стоимость жилищно-коммунальных услуг, предоставленных населению за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составила 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824,3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 или 10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5,0% к 2019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году. В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по оценочным данным, населению будет предоставлено жилищно-коммунальных услуг на сумму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2014,2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10,0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году). </w:t>
      </w:r>
    </w:p>
    <w:p w:rsidR="004266DD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В прогнозном периоде стоимость будет увеличиваться за счет ежегодного удорожания себестоимости производ</w:t>
      </w:r>
      <w:r w:rsidR="004266DD">
        <w:rPr>
          <w:rFonts w:ascii="Times New Roman" w:eastAsia="Times New Roman" w:hAnsi="Times New Roman"/>
          <w:sz w:val="24"/>
          <w:szCs w:val="24"/>
          <w:lang w:eastAsia="ru-RU"/>
        </w:rPr>
        <w:t>ства жилищно-коммунальных услуг:</w:t>
      </w:r>
    </w:p>
    <w:p w:rsidR="004266DD" w:rsidRDefault="004266DD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в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составит: в консервативном варианте –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2177,7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(108,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г); в базовом варианте –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2099,8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 рублей (104,9% к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г.);</w:t>
      </w:r>
    </w:p>
    <w:p w:rsidR="004266DD" w:rsidRDefault="004266DD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составит: в консервативном варианте – 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270,2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(104,0%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 году); в базовом варианте – 2189,2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(104,0%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 году)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10446" w:rsidRDefault="004266DD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2024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составит: в консервативном варианте – 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366,8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году); в базовом варианте – 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282,6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10446"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3 году).</w:t>
      </w:r>
    </w:p>
    <w:p w:rsidR="00C07931" w:rsidRDefault="00C07931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10446" w:rsidRPr="008D3FE4" w:rsidRDefault="008D3FE4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r w:rsidRPr="008D3FE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Предельная стоимость предоставляемых жилищно-коммунальных услуг на 1 кв.м. общей площади жилья в месяц</w:t>
      </w:r>
    </w:p>
    <w:p w:rsidR="004266DD" w:rsidRDefault="00110446" w:rsidP="006B23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Предельная стоимость предоставляемых жилищно-коммунальных услуг на 1 кв.м. общей площади жилья в месяц за 201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составила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82,8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руб./кв.м., за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– 8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7,6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</w:t>
      </w:r>
      <w:r w:rsidR="008D3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B232A" w:rsidRDefault="00110446" w:rsidP="006B23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ожидается увеличение показателя на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по отношению к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 году, что составит 96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,7 руб./кв.м. Рост на прямую зависит от роста расходов населения на оплату жилищно-коммунальных услуг.</w:t>
      </w:r>
      <w:r w:rsidR="008D3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предельная стоимость предоставляемых жилищно-коммунальных услуг на 1 кв.м. общей площади жилья в месяц составит: в консервативном варианте –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104,5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 (108,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100,8 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руб./кв.м.  (104,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D3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предельная стоимость предоставляемых жилищно-коммунальных услуг на 1 кв.м. общей площади жилья в месяц составит: в консервативном варианте – 10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9,0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 (10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,0% к 202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10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5,1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 (104,0% к 202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  <w:r w:rsidR="008D3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предельная стоимость предоставляемых жилищно-коммунальных услуг на 1 кв.м. общей площади жилья в месяц составит: в консервативном варианте – 1</w:t>
      </w:r>
      <w:r w:rsidR="006B232A">
        <w:rPr>
          <w:rFonts w:ascii="Times New Roman" w:eastAsia="Times New Roman" w:hAnsi="Times New Roman"/>
          <w:sz w:val="24"/>
          <w:szCs w:val="24"/>
          <w:lang w:eastAsia="ru-RU"/>
        </w:rPr>
        <w:t>13,6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 (104,0% к 2023 г.); в базовом варианте – 109,6 руб./кв.м.  (104,0% к 2023 г.).</w:t>
      </w:r>
    </w:p>
    <w:p w:rsidR="002243AF" w:rsidRDefault="002243AF" w:rsidP="006B23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3FE4" w:rsidRPr="008D3FE4" w:rsidRDefault="008D3FE4" w:rsidP="006B232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D3FE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Стоимость капитального ремонта жилищного фонда на 1 кв.м. общей площади жилья в месяц</w:t>
      </w:r>
    </w:p>
    <w:p w:rsidR="00110446" w:rsidRPr="006B232A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В рамках краткосрочного плана реализации региональной программы капитального ремонта общего имущества в Саткинском муниципальном районе стоимость капитального ремонта жилищного фонда на 1 кв.м. общей площади жилья в месяц в 201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составила 7,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руб./кв.м., в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– на уровне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8,2 руб./кв.м., (увеличение на 5,1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201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году), в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г. – 8,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(увеличение на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2,4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году).</w:t>
      </w:r>
    </w:p>
    <w:p w:rsidR="006B232A" w:rsidRPr="006B232A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стоимость капитального ремонта жилищного фонда на 1 кв.м. общей площади жилья в месяц составит: в консервативном варианте – 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8,6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(10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2,0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8,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(10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0,0</w:t>
      </w:r>
      <w:r w:rsidRPr="006B232A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6B232A" w:rsidRPr="006B232A">
        <w:rPr>
          <w:rFonts w:ascii="Times New Roman" w:eastAsia="Times New Roman" w:hAnsi="Times New Roman"/>
          <w:sz w:val="24"/>
          <w:szCs w:val="24"/>
          <w:lang w:eastAsia="ru-RU"/>
        </w:rPr>
        <w:t>1 г.).</w:t>
      </w:r>
    </w:p>
    <w:p w:rsidR="00845369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стоимость капитального ремонта жилищного фонда на 1 кв.м. общей площади жилья в месяц состави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т: в консервативном варианте – 8,6 руб./кв.м. (на уровне 2022 г.); в базовом варианте – 8,4 руб./кв.м. (на уровне 2022 г.).</w:t>
      </w:r>
    </w:p>
    <w:p w:rsidR="00110446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стоимость капитального ремонта жилищного фонда на 1 кв.м. общей площади жилья в месяц составит: в консервативном варианте – 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8,6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(на уровне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8,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руб./кв.м. (на уровне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3 г.).</w:t>
      </w:r>
    </w:p>
    <w:p w:rsidR="00C07931" w:rsidRDefault="00C07931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D3FE4" w:rsidRPr="008D3FE4" w:rsidRDefault="008D3FE4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Общая площадь жилых помещений, приходящихся на 1 жителя (на конец года)</w:t>
      </w:r>
    </w:p>
    <w:p w:rsidR="00110446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Жилищный фонд Саткинского муниципального района, обслуживаемый коммунальными организациями, по состоянию на 01.01.202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составил 17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36,2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тыс.кв.м. 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а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останется на уровне 20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C07931" w:rsidRDefault="00C07931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55998" w:rsidRPr="00055998" w:rsidRDefault="0005599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Общая площадь ветхого аварийного муниципального жилищного фонда</w:t>
      </w:r>
    </w:p>
    <w:p w:rsidR="00055998" w:rsidRPr="008D3FE4" w:rsidRDefault="00055998" w:rsidP="00055998">
      <w:pPr>
        <w:widowControl w:val="0"/>
        <w:suppressAutoHyphens/>
        <w:autoSpaceDE w:val="0"/>
        <w:autoSpaceDN w:val="0"/>
        <w:adjustRightInd w:val="0"/>
        <w:snapToGrid w:val="0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Основными задачами государственной политики в жилищной сфере являются о</w:t>
      </w:r>
      <w:r w:rsidRPr="008D3FE4">
        <w:rPr>
          <w:rFonts w:ascii="Times New Roman" w:eastAsia="Lucida Sans Unicode" w:hAnsi="Times New Roman" w:cs="Times New Roman"/>
          <w:kern w:val="3"/>
          <w:sz w:val="24"/>
          <w:szCs w:val="24"/>
          <w:lang w:bidi="en-US"/>
        </w:rPr>
        <w:t>беспечение повышения доступности жилья в соответствии с платежеспособным спросом граждан и стандартами обеспечения  их жилыми помещениями, о</w:t>
      </w:r>
      <w:r w:rsidRPr="008D3FE4">
        <w:rPr>
          <w:rFonts w:ascii="Times New Roman" w:eastAsia="Calibri" w:hAnsi="Times New Roman" w:cs="Times New Roman"/>
          <w:sz w:val="24"/>
          <w:szCs w:val="24"/>
        </w:rPr>
        <w:t>беспечение земельных участков инженерной, социальной и дорожной инфраструктурой; увеличение объемов строительства, модернизации и капитального строительства инженерных сетей, модернизация, реконструкция и капитальный ремонт объектов коммунальной инфраструктуры с высоким уровнем износа,  создание в муниципальных образованиях Саткинского муниципального района условий для переселения граждан из аварийных многоквартирных домов, уменьшение аварийного жилищного фонда Саткинского муниципального района, признанного аварийным.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FE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Эта проблема в числе тех, которые не только ухудшают внешний облик населённых пунктов, но и снижают их инвестиционную привлекательность. В свою очередь, это обстоятельство сдерживает развитие инфраструктуры, создаёт потенциальную угрозу безопасности и комфортности проживания граждан.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8D3FE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Большинство граждан, проживающих в аварийных домах, не в состоянии самостоятельно приобрести или получить на условиях социального найма жильё удовлетворительного качества. Адресная программа переселения граждан из аварийного жилищного фонда, принятая в нашем области, предусматривает реализацию конституционных прав жителей региона на жилище.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D3FE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Решать проблему можно лишь поэтапно с учётом возможностей бюджетного финансирования различных уровней. Что касается нашего района, всё, что было определено в областной программе.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Площадь помещений, приходящихся на 1 жителя района на конец 2019 года, составила 28,2 кв.м. на человека, в 2020 году равна 28,68 кв.м.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FE4">
        <w:rPr>
          <w:rFonts w:ascii="Times New Roman" w:eastAsia="Calibri" w:hAnsi="Times New Roman" w:cs="Times New Roman"/>
          <w:sz w:val="24"/>
          <w:szCs w:val="24"/>
        </w:rPr>
        <w:t>В 2021 году ожидается, что показатель составит 29,06 кв.м.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2022 году ожидается: по консервативному варианту – 29,63 кв.м.; по базовому варианту – 29,64 кв.м.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2023 году составит: по консервативному варианту – 30,15 кв.м.; по базовому варианту – 30,18 кв.м.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2024 году ожидается: по консервативному варианту – 30,64 кв.м.; по базовому варианту – 30,68 кв.м.</w:t>
      </w:r>
    </w:p>
    <w:p w:rsidR="00055998" w:rsidRDefault="00055998" w:rsidP="0005599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 xml:space="preserve">       Одной из причин, сдерживающей строительство новых многоквартирных жилых домов и ввод в эксплуатацию построенных жилых домов, является отсутствие должного финансирования из областного бюджета для переселения жителей из аварийных домов. </w:t>
      </w:r>
    </w:p>
    <w:p w:rsidR="00055998" w:rsidRDefault="00055998" w:rsidP="0005599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5998" w:rsidRPr="00055998" w:rsidRDefault="00055998" w:rsidP="000559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Общая площадь ветхого аварийного муниципального жилищного фонда</w:t>
      </w:r>
    </w:p>
    <w:p w:rsidR="00055998" w:rsidRPr="008D3FE4" w:rsidRDefault="00055998" w:rsidP="00CF1B1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</w:rPr>
        <w:t xml:space="preserve">        </w:t>
      </w:r>
      <w:r w:rsidRPr="008D3FE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территории Саткинского муниципального районе нет ветхого жилищного фонда.</w:t>
      </w:r>
      <w:r w:rsidRPr="00CF1B1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8D3FE4">
        <w:rPr>
          <w:rFonts w:ascii="Times New Roman" w:eastAsia="Calibri" w:hAnsi="Times New Roman" w:cs="Times New Roman"/>
          <w:sz w:val="24"/>
          <w:szCs w:val="24"/>
        </w:rPr>
        <w:t>Общая площадь аварийного муниципального жилищного фонда в 2018 году составила 34,0 тыс.</w:t>
      </w:r>
      <w:r w:rsidRPr="00CF1B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FE4">
        <w:rPr>
          <w:rFonts w:ascii="Times New Roman" w:eastAsia="Calibri" w:hAnsi="Times New Roman" w:cs="Times New Roman"/>
          <w:sz w:val="24"/>
          <w:szCs w:val="24"/>
        </w:rPr>
        <w:t>кв.м., в 2019 году составила - 30,5 тыс. кв.м.</w:t>
      </w:r>
      <w:r w:rsidR="00CF1B18" w:rsidRPr="00CF1B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площади аварийного муниципального жилищного фонда с 34,0 тыс. кв.м. (2018 год) до 30,5 тыс. кв.м. (2019 год) произошло в связи с проведенной работой по сносу и снятию с кадастрового учета аварийных домов Межевого и Саткинского городских поселений. В 2020 году площади аварийного муниципального жилищного фонда составила</w:t>
      </w:r>
      <w:r w:rsidR="00CF1B18" w:rsidRPr="00CF1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- 30,0 тыс. кв.м. 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 xml:space="preserve">В 2021 году </w:t>
      </w:r>
      <w:r w:rsidRPr="008D3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</w:t>
      </w:r>
      <w:r w:rsidRPr="00CF1B1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D3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аварийного муниципального жилищного фонда </w:t>
      </w:r>
      <w:r w:rsidRPr="008D3FE4">
        <w:rPr>
          <w:rFonts w:ascii="Times New Roman" w:eastAsia="Calibri" w:hAnsi="Times New Roman" w:cs="Times New Roman"/>
          <w:sz w:val="24"/>
          <w:szCs w:val="24"/>
        </w:rPr>
        <w:t xml:space="preserve">составит – 20,0 </w:t>
      </w:r>
      <w:r w:rsidRPr="008D3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кв.м. 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2022 году общая площадь аварийного муниципального жилищного фонда составит: по консервативному варианту – 14,5 тыс. кв.м.; по базовому варианту – 14,0 тыс.кв.м.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2023 году ожидается: по консервативному варианту – 12,5 тыс.кв.м.; по базовому варианту – 12,0 тыс. кв.м.</w:t>
      </w:r>
    </w:p>
    <w:p w:rsidR="00055998" w:rsidRPr="008D3FE4" w:rsidRDefault="00055998" w:rsidP="0005599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E4">
        <w:rPr>
          <w:rFonts w:ascii="Times New Roman" w:eastAsia="Calibri" w:hAnsi="Times New Roman" w:cs="Times New Roman"/>
          <w:sz w:val="24"/>
          <w:szCs w:val="24"/>
        </w:rPr>
        <w:t>В 2024 году ожидается: по консервативному варианту – 7,9 тыс. кв.м.; по базовому варианту – 6,0 тыс. кв.м.</w:t>
      </w:r>
    </w:p>
    <w:p w:rsidR="00055998" w:rsidRDefault="0005599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43AF" w:rsidRDefault="002243AF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5998" w:rsidRPr="00055998" w:rsidRDefault="0005599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5599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Уровень платежей граждан за жилищно-коммунальные услуги</w:t>
      </w:r>
    </w:p>
    <w:p w:rsidR="00110446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Уровень платежей граждан за жилищно-коммунальные услуги в % к общей стоимости жилищно-коммунальных услуги по итогам 201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составил 98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,5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%, в 20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20 году – 98,6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%.</w:t>
      </w:r>
    </w:p>
    <w:p w:rsidR="00110446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По оценке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показатель составит 99,1%. </w:t>
      </w:r>
    </w:p>
    <w:p w:rsidR="00110446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На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-2024 годы запланирован рост данного показателя за счет проведения работы по взысканию задолженности с населения. Организациями, осуществляющими деятельность в сфере ЖКХ, принимаются все возможные меры по увеличению собираемости платежей и снижению дебиторской задолженности за предоставленные потребителям жилищно-коммунальные услуги.</w:t>
      </w:r>
    </w:p>
    <w:p w:rsidR="00110446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В плановом периоде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 прогнозный уровень платежей граждан за жилищно-коммунальные услуги в % к общей стоимости жилищно-коммунальных услуг ежегодно составит: в консервативном варианте – 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97,2%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; в базовом варианте – 99,1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0446" w:rsidRPr="00845369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Фа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ктический уровень платежей в 2020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% к общей стоимости ЖКУ составил 97,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>% и оценка 202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составит 98,</w:t>
      </w:r>
      <w:r w:rsidR="00845369" w:rsidRPr="00845369">
        <w:rPr>
          <w:rFonts w:ascii="Times New Roman" w:eastAsia="Times New Roman" w:hAnsi="Times New Roman"/>
          <w:sz w:val="24"/>
          <w:szCs w:val="24"/>
          <w:lang w:eastAsia="ru-RU"/>
        </w:rPr>
        <w:t>3%</w:t>
      </w:r>
      <w:r w:rsidRPr="0084536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4C8C" w:rsidRPr="00E14C8C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плановом периоде 202</w:t>
      </w:r>
      <w:r w:rsidR="00845369" w:rsidRPr="00E14C8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845369" w:rsidRPr="00E14C8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 прогнозный фактический уровень платежей граждан за жилищно-коммунальные услуги в % к общей стоимости жилищно-коммунальных услуг составляет: в консервативном варианте – 94,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>% (96,1 % к предыдущему году); в базовом варианте – 98,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3% (100% к предыдущему году).</w:t>
      </w:r>
    </w:p>
    <w:p w:rsidR="00110446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Уровень платежей за ЖКХ услуги по установленному стандарту на территории района в % к общей стоимости составляет 100%. </w:t>
      </w:r>
    </w:p>
    <w:p w:rsidR="00E14C8C" w:rsidRDefault="00E14C8C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1B18" w:rsidRPr="00CF1B18" w:rsidRDefault="00CF1B1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Расходы населения на оплату жилищно-коммунальных услуг</w:t>
      </w:r>
    </w:p>
    <w:p w:rsidR="00110446" w:rsidRPr="00E14C8C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>По итогам 201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расходы населения на оплату жилищно-коммунальных услуг составили 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1166,9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рублей, в 20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составили 1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053,6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90,3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>% к 201</w:t>
      </w:r>
      <w:r w:rsidR="00E14C8C" w:rsidRPr="00E14C8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14C8C">
        <w:rPr>
          <w:rFonts w:ascii="Times New Roman" w:eastAsia="Times New Roman" w:hAnsi="Times New Roman"/>
          <w:sz w:val="24"/>
          <w:szCs w:val="24"/>
          <w:lang w:eastAsia="ru-RU"/>
        </w:rPr>
        <w:t xml:space="preserve"> г.)</w:t>
      </w:r>
    </w:p>
    <w:p w:rsidR="00110446" w:rsidRPr="0015607F" w:rsidRDefault="0015607F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607F">
        <w:rPr>
          <w:rFonts w:ascii="Times New Roman" w:eastAsia="Times New Roman" w:hAnsi="Times New Roman"/>
          <w:sz w:val="24"/>
          <w:szCs w:val="24"/>
          <w:lang w:eastAsia="ru-RU"/>
        </w:rPr>
        <w:t>В 2021</w:t>
      </w:r>
      <w:r w:rsidR="00110446" w:rsidRPr="0015607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населения на оплату жили</w:t>
      </w:r>
      <w:r w:rsidRPr="0015607F">
        <w:rPr>
          <w:rFonts w:ascii="Times New Roman" w:eastAsia="Times New Roman" w:hAnsi="Times New Roman"/>
          <w:sz w:val="24"/>
          <w:szCs w:val="24"/>
          <w:lang w:eastAsia="ru-RU"/>
        </w:rPr>
        <w:t>щно-коммунальных услуг, оцениваю</w:t>
      </w:r>
      <w:r w:rsidR="00110446" w:rsidRPr="0015607F">
        <w:rPr>
          <w:rFonts w:ascii="Times New Roman" w:eastAsia="Times New Roman" w:hAnsi="Times New Roman"/>
          <w:sz w:val="24"/>
          <w:szCs w:val="24"/>
          <w:lang w:eastAsia="ru-RU"/>
        </w:rPr>
        <w:t>тся в размере 1</w:t>
      </w:r>
      <w:r w:rsidRPr="0015607F">
        <w:rPr>
          <w:rFonts w:ascii="Times New Roman" w:eastAsia="Times New Roman" w:hAnsi="Times New Roman"/>
          <w:sz w:val="24"/>
          <w:szCs w:val="24"/>
          <w:lang w:eastAsia="ru-RU"/>
        </w:rPr>
        <w:t>095,7</w:t>
      </w:r>
      <w:r w:rsidR="00110446" w:rsidRPr="0015607F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рублей, что на 3,</w:t>
      </w:r>
      <w:r w:rsidRPr="0015607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110446" w:rsidRPr="0015607F">
        <w:rPr>
          <w:rFonts w:ascii="Times New Roman" w:eastAsia="Times New Roman" w:hAnsi="Times New Roman"/>
          <w:sz w:val="24"/>
          <w:szCs w:val="24"/>
          <w:lang w:eastAsia="ru-RU"/>
        </w:rPr>
        <w:t>% выше уровня прошлого 20</w:t>
      </w:r>
      <w:r w:rsidRPr="0015607F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110446" w:rsidRPr="0015607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в связи с ростом тарифов на жилищно-коммунальные услуги.</w:t>
      </w:r>
    </w:p>
    <w:p w:rsidR="00110446" w:rsidRPr="008F35BD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8F35BD" w:rsidRPr="008F35B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населения на оплату жилищно-коммунальных услуг составят: в консервативном варианте – </w:t>
      </w:r>
      <w:r w:rsidR="008F35BD" w:rsidRPr="008F35BD">
        <w:rPr>
          <w:rFonts w:ascii="Times New Roman" w:eastAsia="Times New Roman" w:hAnsi="Times New Roman"/>
          <w:sz w:val="24"/>
          <w:szCs w:val="24"/>
          <w:lang w:eastAsia="ru-RU"/>
        </w:rPr>
        <w:t>1185,1</w:t>
      </w: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(108,2% к 202</w:t>
      </w:r>
      <w:r w:rsidR="008F35BD" w:rsidRPr="008F35B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1</w:t>
      </w:r>
      <w:r w:rsidR="008F35BD" w:rsidRPr="008F35BD">
        <w:rPr>
          <w:rFonts w:ascii="Times New Roman" w:eastAsia="Times New Roman" w:hAnsi="Times New Roman"/>
          <w:sz w:val="24"/>
          <w:szCs w:val="24"/>
          <w:lang w:eastAsia="ru-RU"/>
        </w:rPr>
        <w:t>139,5</w:t>
      </w: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8F35BD" w:rsidRPr="008F35BD"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  <w:r w:rsidRPr="008F3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0446" w:rsidRPr="006F3FFD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населения на оплату жилищно-коммунальных услуг составят:</w:t>
      </w:r>
    </w:p>
    <w:p w:rsidR="00110446" w:rsidRPr="006F3FFD" w:rsidRDefault="00110446" w:rsidP="001104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>в консервативном варианте – 1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232,5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1185,1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2 г.)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3FFD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населения на оплату жилищно-коммунальных услуг составят: в консервативном варианте – 1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281,8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1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232,5</w:t>
      </w:r>
      <w:r w:rsidRPr="006F3FF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6F3FFD" w:rsidRPr="006F3FFD">
        <w:rPr>
          <w:rFonts w:ascii="Times New Roman" w:eastAsia="Times New Roman" w:hAnsi="Times New Roman"/>
          <w:sz w:val="24"/>
          <w:szCs w:val="24"/>
          <w:lang w:eastAsia="ru-RU"/>
        </w:rPr>
        <w:t>3 г.).</w:t>
      </w:r>
    </w:p>
    <w:p w:rsidR="00CF1B18" w:rsidRDefault="00CF1B1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1B18" w:rsidRPr="00CF1B18" w:rsidRDefault="00CF1B1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Задолженность населения за предоставленные жилищно-коммунальные услуги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>Задолженность населения в 201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 предоставленные жилищно-коммунальные услуги составили 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>8% от расходов населения на жилищно-коммунальные услуги или 4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43,5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руб., 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в 2020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– 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656,1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147,9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отношению к 20</w:t>
      </w:r>
      <w:r w:rsidR="008442CD" w:rsidRPr="008442C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442C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году), 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 оценке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задолженность составит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775,1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руб., что на 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% выше уровня 20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:rsidR="00E77FF4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задолженность населения за предоставленные жилищно-коммунальные услуги составят: в консервативном варианте –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838,4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(108,2%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806,1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1 г.). </w:t>
      </w:r>
    </w:p>
    <w:p w:rsidR="00E77FF4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задолженность населения за предоставленные жилищно-коммунальные услуги составят: в консервативном варианте –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871,9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(104%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838,4 (104% к 2022 г.).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задолженность населения за предоставленные жилищно-коммунальные услуги составят: в консервативном варианте –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906,8 млн. руб.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(104%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г.); в базовом варианте –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871,9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(104%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:rsidR="00CF1B18" w:rsidRDefault="00CF1B1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446" w:rsidRPr="00CF1B18" w:rsidRDefault="00CF1B18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1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Задолженность населения в 2019 году за предоставленные жилищно-коммунальные услуги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Расходы на предоставле</w:t>
      </w:r>
      <w:r w:rsidR="00CF1B18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субсиди</w:t>
      </w:r>
      <w:r w:rsidR="00CF1B18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населению на оплату жилищно-коммунальных услуг будут увеличиваться пропорционально увеличению расходов населения на оплату жилищно-коммунальных услуг.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По итогам 201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расходы на предоставленные субсидии населению на оплату жилищно-коммунальных услуг составили 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21,9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рублей.</w:t>
      </w:r>
      <w:r w:rsidR="00F416BB"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 20</w:t>
      </w:r>
      <w:r w:rsidR="00E77FF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 предоставленные субсидии населению на оплату жилищно-коммунальных услуг, составили 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14,6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рублей, что на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5,9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%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меньше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201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По оценке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размер субсидии составит 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43,4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</w:t>
      </w:r>
      <w:r w:rsidR="00F416BB"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 w:rsidR="00F416BB" w:rsidRPr="00E77FF4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на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25,0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%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выше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в 20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году. </w:t>
      </w:r>
    </w:p>
    <w:p w:rsidR="00110446" w:rsidRPr="00E77FF4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прогноз расходов на предоставление субсидии населению на оплату жилищно-коммунальных услуг составят: в консервативном 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и базовом 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вариант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– 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54,2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руб. (1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7,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E77FF4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E77FF4" w:rsidRPr="00E77FF4"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  <w:r w:rsidR="00F416BB" w:rsidRPr="00E77FF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0446" w:rsidRPr="00A644C2" w:rsidRDefault="006757ED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>В 2023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расходы на предоставленные субсидии населению на оплату жилищно-коммунальных услуг составят: в консервативном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базовом вариантах – 1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>65,8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</w:t>
      </w:r>
      <w:r w:rsidR="00F416BB" w:rsidRPr="00A644C2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(10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>7,5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10446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:rsidR="00110446" w:rsidRDefault="00110446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>В 202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расходы на предоставленные субсидии населению на оплату жилищно-коммунальных услуг составят: в консервативном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базовом вариантах – 1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>78,2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млн. руб</w:t>
      </w:r>
      <w:r w:rsidR="00F416BB" w:rsidRPr="00A644C2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(107,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>% к 202</w:t>
      </w:r>
      <w:r w:rsidR="00A644C2" w:rsidRPr="00A644C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644C2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:rsidR="00C833E3" w:rsidRDefault="00C833E3" w:rsidP="001104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1A5" w:rsidRPr="00115BA9" w:rsidRDefault="009041A5" w:rsidP="009041A5">
      <w:pPr>
        <w:pStyle w:val="a7"/>
        <w:numPr>
          <w:ilvl w:val="1"/>
          <w:numId w:val="12"/>
        </w:num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5BA9">
        <w:rPr>
          <w:rFonts w:ascii="Times New Roman" w:eastAsia="Calibri" w:hAnsi="Times New Roman" w:cs="Times New Roman"/>
          <w:sz w:val="24"/>
          <w:szCs w:val="24"/>
        </w:rPr>
        <w:t>Физкультура и спорт</w:t>
      </w:r>
    </w:p>
    <w:p w:rsidR="00EC138E" w:rsidRPr="007D4A56" w:rsidRDefault="00EC138E" w:rsidP="00EC138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D4A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Физическая культура – сфера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активности. Это 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 и физического развития.</w:t>
      </w:r>
    </w:p>
    <w:p w:rsidR="00EC138E" w:rsidRPr="007D4A56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конец 201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9</w:t>
      </w: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года численность населения, систематически занимающегося физической культурой и спортом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</w:t>
      </w: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составила 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9</w:t>
      </w:r>
      <w:r w:rsidR="002903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,0 тыс. </w:t>
      </w: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человек, в 20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</w:t>
      </w: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году этот </w:t>
      </w:r>
      <w:r w:rsidRPr="007D4A5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t xml:space="preserve">показатель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повысился и составил 33</w:t>
      </w:r>
      <w:r w:rsidR="002903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,4 тыс.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человека. По оценке на 2021 год данный показатель составит 33</w:t>
      </w:r>
      <w:r w:rsidR="002903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,4 тыс.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человек.</w:t>
      </w:r>
    </w:p>
    <w:p w:rsidR="00EC138E" w:rsidRPr="00320FAA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320FA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плановый период 202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</w:t>
      </w:r>
      <w:r w:rsidRPr="00320FA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-202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4</w:t>
      </w:r>
      <w:r w:rsidRPr="00320FA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годов прогнозное значение данного показателя составит:</w:t>
      </w:r>
    </w:p>
    <w:p w:rsidR="00EC138E" w:rsidRDefault="00EC138E" w:rsidP="00EC138E">
      <w:pPr>
        <w:pStyle w:val="a7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2022 год: по консервативному варианту – 31</w:t>
      </w:r>
      <w:r w:rsidR="002903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,0</w:t>
      </w:r>
      <w:r w:rsidR="00E90F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тыс. человек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; по базовому – 33</w:t>
      </w:r>
      <w:r w:rsidR="002903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,4 тыс.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человек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; </w:t>
      </w:r>
    </w:p>
    <w:p w:rsidR="00EC138E" w:rsidRPr="00602615" w:rsidRDefault="00EC138E" w:rsidP="00EC138E">
      <w:pPr>
        <w:pStyle w:val="a7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год: по консервативному варианту –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30</w:t>
      </w:r>
      <w:r w:rsidR="00E90F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,9 тыс. человек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; по базовому –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33</w:t>
      </w:r>
      <w:r w:rsidR="00E90F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,4 тыс.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человек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; </w:t>
      </w:r>
    </w:p>
    <w:p w:rsidR="00EC138E" w:rsidRDefault="00EC138E" w:rsidP="00EC138E">
      <w:pPr>
        <w:pStyle w:val="a7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4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год: по консервативному варианту –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30</w:t>
      </w:r>
      <w:r w:rsidR="00E90F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,7 тыс. человек</w:t>
      </w:r>
      <w:r w:rsidRPr="006026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; по базовому –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33</w:t>
      </w:r>
      <w:r w:rsidR="00E90F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,4 тыс.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человек.</w:t>
      </w:r>
    </w:p>
    <w:p w:rsidR="00EC138E" w:rsidRDefault="00EC138E" w:rsidP="00EC138E">
      <w:pPr>
        <w:pStyle w:val="a7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253DB7">
        <w:rPr>
          <w:rFonts w:ascii="Times New Roman" w:hAnsi="Times New Roman" w:cs="Times New Roman"/>
          <w:noProof/>
          <w:sz w:val="24"/>
          <w:szCs w:val="24"/>
        </w:rPr>
        <w:t>На конец 2019 года численность обучающихся, систематически занимающихся физической культурой и спортом составила 14</w:t>
      </w:r>
      <w:r w:rsidR="00E90F34" w:rsidRPr="00253DB7">
        <w:rPr>
          <w:rFonts w:ascii="Times New Roman" w:hAnsi="Times New Roman" w:cs="Times New Roman"/>
          <w:noProof/>
          <w:sz w:val="24"/>
          <w:szCs w:val="24"/>
        </w:rPr>
        <w:t>,5 тыс.</w:t>
      </w:r>
      <w:r w:rsidRPr="00253DB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55E8A">
        <w:rPr>
          <w:rFonts w:ascii="Times New Roman" w:hAnsi="Times New Roman" w:cs="Times New Roman"/>
          <w:noProof/>
          <w:sz w:val="24"/>
          <w:szCs w:val="24"/>
        </w:rPr>
        <w:t xml:space="preserve">человек, в 2020 году показатель </w:t>
      </w:r>
      <w:r w:rsidR="00253DB7" w:rsidRPr="00D55E8A">
        <w:rPr>
          <w:rFonts w:ascii="Times New Roman" w:hAnsi="Times New Roman" w:cs="Times New Roman"/>
          <w:noProof/>
          <w:sz w:val="24"/>
          <w:szCs w:val="24"/>
        </w:rPr>
        <w:t>повысился до</w:t>
      </w:r>
      <w:r w:rsidRPr="00D55E8A">
        <w:rPr>
          <w:rFonts w:ascii="Times New Roman" w:hAnsi="Times New Roman" w:cs="Times New Roman"/>
          <w:noProof/>
          <w:sz w:val="24"/>
          <w:szCs w:val="24"/>
        </w:rPr>
        <w:t xml:space="preserve"> 15</w:t>
      </w:r>
      <w:r w:rsidR="00253DB7" w:rsidRPr="00D55E8A">
        <w:rPr>
          <w:rFonts w:ascii="Times New Roman" w:hAnsi="Times New Roman" w:cs="Times New Roman"/>
          <w:noProof/>
          <w:sz w:val="24"/>
          <w:szCs w:val="24"/>
        </w:rPr>
        <w:t>,0 тыс.</w:t>
      </w:r>
      <w:r w:rsidRPr="00D55E8A">
        <w:rPr>
          <w:rFonts w:ascii="Times New Roman" w:hAnsi="Times New Roman" w:cs="Times New Roman"/>
          <w:noProof/>
          <w:sz w:val="24"/>
          <w:szCs w:val="24"/>
        </w:rPr>
        <w:t xml:space="preserve"> человек. По данным на 2021 год показатель останется на том же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уровне.</w:t>
      </w:r>
    </w:p>
    <w:p w:rsidR="00EC138E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Плановый период 2022-2024 годов прогнозное значение данного показателя составит:</w:t>
      </w:r>
    </w:p>
    <w:p w:rsidR="00EC138E" w:rsidRDefault="00EC138E" w:rsidP="00EC138E">
      <w:pPr>
        <w:pStyle w:val="a7"/>
        <w:numPr>
          <w:ilvl w:val="0"/>
          <w:numId w:val="43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253DB7">
        <w:rPr>
          <w:rFonts w:ascii="Times New Roman" w:hAnsi="Times New Roman" w:cs="Times New Roman"/>
          <w:noProof/>
          <w:sz w:val="24"/>
          <w:szCs w:val="24"/>
        </w:rPr>
        <w:t>2022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год: по консервативному варианту – 15</w:t>
      </w:r>
      <w:r w:rsidR="00253DB7">
        <w:rPr>
          <w:rFonts w:ascii="Times New Roman" w:hAnsi="Times New Roman" w:cs="Times New Roman"/>
          <w:noProof/>
          <w:sz w:val="24"/>
          <w:szCs w:val="24"/>
        </w:rPr>
        <w:t>,0 тыс. человек</w:t>
      </w:r>
      <w:r>
        <w:rPr>
          <w:rFonts w:ascii="Times New Roman" w:hAnsi="Times New Roman" w:cs="Times New Roman"/>
          <w:noProof/>
          <w:sz w:val="24"/>
          <w:szCs w:val="24"/>
        </w:rPr>
        <w:t>; по базовому – 15</w:t>
      </w:r>
      <w:r w:rsidR="00253DB7">
        <w:rPr>
          <w:rFonts w:ascii="Times New Roman" w:hAnsi="Times New Roman" w:cs="Times New Roman"/>
          <w:noProof/>
          <w:sz w:val="24"/>
          <w:szCs w:val="24"/>
        </w:rPr>
        <w:t>,0 тыс. чел</w:t>
      </w:r>
      <w:r>
        <w:rPr>
          <w:rFonts w:ascii="Times New Roman" w:hAnsi="Times New Roman" w:cs="Times New Roman"/>
          <w:noProof/>
          <w:sz w:val="24"/>
          <w:szCs w:val="24"/>
        </w:rPr>
        <w:t>овек;</w:t>
      </w:r>
    </w:p>
    <w:p w:rsidR="00D55E8A" w:rsidRDefault="00D55E8A" w:rsidP="00D55E8A">
      <w:pPr>
        <w:pStyle w:val="a7"/>
        <w:numPr>
          <w:ilvl w:val="0"/>
          <w:numId w:val="43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2023 год: по консервативному варианту – 15,0 тыс. человек; по базовому – 15,0 тыс. человек;</w:t>
      </w:r>
    </w:p>
    <w:p w:rsidR="00D55E8A" w:rsidRDefault="00D55E8A" w:rsidP="00D55E8A">
      <w:pPr>
        <w:pStyle w:val="a7"/>
        <w:numPr>
          <w:ilvl w:val="0"/>
          <w:numId w:val="43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2024 год: по консервативному варианту – 15,0 тыс. человек; по базовому – 15,0 тыс. человек;</w:t>
      </w:r>
    </w:p>
    <w:p w:rsidR="002903E3" w:rsidRDefault="002903E3" w:rsidP="002903E3">
      <w:pPr>
        <w:pStyle w:val="a7"/>
        <w:tabs>
          <w:tab w:val="left" w:pos="709"/>
        </w:tabs>
        <w:spacing w:after="0" w:line="36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C7393" w:rsidRDefault="009953A7" w:rsidP="000639AD">
      <w:pPr>
        <w:pStyle w:val="a7"/>
        <w:numPr>
          <w:ilvl w:val="1"/>
          <w:numId w:val="12"/>
        </w:numPr>
        <w:jc w:val="center"/>
        <w:rPr>
          <w:rFonts w:ascii="Times New Roman" w:hAnsi="Times New Roman" w:cs="Times New Roman"/>
          <w:sz w:val="24"/>
          <w:szCs w:val="28"/>
        </w:rPr>
      </w:pPr>
      <w:r w:rsidRPr="00EC138E">
        <w:rPr>
          <w:rFonts w:ascii="Times New Roman" w:hAnsi="Times New Roman" w:cs="Times New Roman"/>
          <w:sz w:val="24"/>
          <w:szCs w:val="28"/>
        </w:rPr>
        <w:t>Число зарегистрированных преступлений</w:t>
      </w:r>
    </w:p>
    <w:p w:rsidR="00EC138E" w:rsidRPr="00DA6D17" w:rsidRDefault="00EC138E" w:rsidP="00EC138E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DA6D1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ОМВД России по Саткинскому району Челябинской области во взаимодействии                  с другими правоохранительными органами и силовыми структурами в целом был обеспечен контроль над оперативной обстановкой в районе.</w:t>
      </w:r>
    </w:p>
    <w:p w:rsidR="00EC138E" w:rsidRPr="00DA6D17" w:rsidRDefault="00EC138E" w:rsidP="00EC13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t xml:space="preserve">За 12 месяцев 2020 года криминогенная обстановка на территории обслуживания Отдела МВД России по </w:t>
      </w:r>
      <w:proofErr w:type="spellStart"/>
      <w:r w:rsidRPr="00DA6D17">
        <w:rPr>
          <w:rFonts w:ascii="Times New Roman" w:eastAsia="Times New Roman" w:hAnsi="Times New Roman"/>
          <w:sz w:val="24"/>
          <w:szCs w:val="24"/>
        </w:rPr>
        <w:t>Саткинскому</w:t>
      </w:r>
      <w:proofErr w:type="spellEnd"/>
      <w:r w:rsidRPr="00DA6D17">
        <w:rPr>
          <w:rFonts w:ascii="Times New Roman" w:eastAsia="Times New Roman" w:hAnsi="Times New Roman"/>
          <w:sz w:val="24"/>
          <w:szCs w:val="24"/>
        </w:rPr>
        <w:t xml:space="preserve"> району характеризуется ростом общего числа зарегистрированных сообщений на 5,86% (с 8135 до 8612).</w:t>
      </w:r>
    </w:p>
    <w:p w:rsidR="00EC138E" w:rsidRPr="00DA6D17" w:rsidRDefault="00EC138E" w:rsidP="00EC13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t>Проводимая с населением района работа через средства массовой информации (по учетно-регистрационной дисциплине, разъяснению основ законодательства) привела к росту регистрации сообщений.</w:t>
      </w:r>
    </w:p>
    <w:p w:rsidR="00EC138E" w:rsidRPr="00DA6D17" w:rsidRDefault="00EC138E" w:rsidP="00EC13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lastRenderedPageBreak/>
        <w:t xml:space="preserve">По результатам рассмотрения сообщений приняты решения: о возбуждении уголовных дел 847 (-14,1%; 986); об отказе в возбуждении уголовного дела 261 (-12,71%; 299), в том числе по 248 (-13,29%; 286), – в связи с отсутствием события (состава) преступления, доля которых составляет 95,02% (-0,58%; 95,6%). По сообщениям о происшествиях вынесены решения о возбуждении (отказе в возбуждении, передаче по территориальности) дел об административных правонарушениях - 3003 (+18,7%; 2530), о приобщении сообщений к материалам ранее зарегистрированных заявлений о тех же происшествиях - 483 (+9,03%; 443), о приобщении сообщений к материалам номенклатурного дела - 3329 (+2,59%; 3245). По подследственности (территориальности) передано - 645 (+8,95%; 592) сообщений. </w:t>
      </w:r>
    </w:p>
    <w:p w:rsidR="00EC138E" w:rsidRPr="00DA6D17" w:rsidRDefault="00EC138E" w:rsidP="003C219F">
      <w:pPr>
        <w:keepNext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t>Структура поступившей  информации выглядит следующим образом: наибольшую долю составляют сообщения, по которым не подтвердились сведения о преступлениях или об а</w:t>
      </w:r>
      <w:r>
        <w:rPr>
          <w:rFonts w:ascii="Times New Roman" w:eastAsia="Times New Roman" w:hAnsi="Times New Roman"/>
          <w:sz w:val="24"/>
          <w:szCs w:val="24"/>
        </w:rPr>
        <w:t>дминистративных правонарушениях</w:t>
      </w:r>
      <w:r w:rsidRPr="00DA6D17">
        <w:rPr>
          <w:rFonts w:ascii="Times New Roman" w:eastAsia="Times New Roman" w:hAnsi="Times New Roman"/>
          <w:sz w:val="24"/>
          <w:szCs w:val="24"/>
        </w:rPr>
        <w:t xml:space="preserve"> составили  38,66%, далее – решения о возбуждении (отказе в возбуждении, передаче по территориальности) дел об административных правонарушениях – 34,87%, решения о возбуждении уголовных дел – 9,84%, обращения, переданные по подследственности (территориальности) – 7,49%,  о приобщении сообщений к материалам ранее зарегистрированных заявлений о тех же происшествиях – 5,61%, отказы в возбуждении уголовных дел – 3,03%.</w:t>
      </w:r>
    </w:p>
    <w:p w:rsidR="00EC138E" w:rsidRPr="00DA6D17" w:rsidRDefault="00EC138E" w:rsidP="003C219F">
      <w:pPr>
        <w:keepNext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t>Из приведенных данных видно, что чаще граждане стали обращаться в ОМВД не только по административным правонарушениям, но и по всем вопросам, касающимся безопасности личности и имущества.</w:t>
      </w:r>
    </w:p>
    <w:p w:rsidR="00EC138E" w:rsidRPr="00DA6D17" w:rsidRDefault="00EC138E" w:rsidP="00EC13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hAnsi="Times New Roman"/>
          <w:sz w:val="24"/>
          <w:szCs w:val="24"/>
        </w:rPr>
        <w:t>За отчетный период на 14,6% снизилось количество преступных посягательств и составило 951.</w:t>
      </w:r>
      <w:r w:rsidR="00767C37">
        <w:rPr>
          <w:rFonts w:ascii="Times New Roman" w:hAnsi="Times New Roman"/>
          <w:sz w:val="24"/>
          <w:szCs w:val="24"/>
        </w:rPr>
        <w:t xml:space="preserve"> </w:t>
      </w:r>
      <w:r w:rsidRPr="00DA6D17">
        <w:rPr>
          <w:rFonts w:ascii="Times New Roman" w:eastAsia="Times New Roman" w:hAnsi="Times New Roman"/>
          <w:sz w:val="24"/>
          <w:szCs w:val="24"/>
        </w:rPr>
        <w:t>Причиной снижения общего количества преступлений послужило снижение на</w:t>
      </w:r>
      <w:r w:rsidRPr="00DA6D17">
        <w:rPr>
          <w:rFonts w:ascii="Times New Roman" w:eastAsia="Times New Roman" w:hAnsi="Times New Roman"/>
          <w:color w:val="000000"/>
          <w:sz w:val="24"/>
          <w:szCs w:val="24"/>
        </w:rPr>
        <w:t xml:space="preserve"> 35,2% (до 57) особо тяжких преступлений; на 28,5% (до 294) – средней тяжести; на 12,2% (до 426) преступлений небольшой тяжести.</w:t>
      </w:r>
    </w:p>
    <w:p w:rsidR="00EC138E" w:rsidRPr="00DA6D17" w:rsidRDefault="00EC138E" w:rsidP="00EC138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DA6D17">
        <w:rPr>
          <w:rFonts w:ascii="Times New Roman" w:eastAsia="Times New Roman" w:hAnsi="Times New Roman"/>
          <w:sz w:val="24"/>
          <w:szCs w:val="24"/>
        </w:rPr>
        <w:t xml:space="preserve">Количество тяжких преступлений возросло на 33,8% и равно 174. </w:t>
      </w:r>
    </w:p>
    <w:p w:rsidR="00EC138E" w:rsidRPr="00DA6D17" w:rsidRDefault="00EC138E" w:rsidP="00B20788">
      <w:pPr>
        <w:keepNext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A6D17">
        <w:rPr>
          <w:rFonts w:ascii="Times New Roman" w:hAnsi="Times New Roman"/>
          <w:sz w:val="24"/>
          <w:szCs w:val="24"/>
        </w:rPr>
        <w:t xml:space="preserve">Уровень преступности в расчете на 10 тысяч населения снизился на 19,3% и составил 122,8 преступления. </w:t>
      </w:r>
    </w:p>
    <w:p w:rsidR="00EC138E" w:rsidRPr="00222C8C" w:rsidRDefault="00EC138E" w:rsidP="00B20788">
      <w:pPr>
        <w:keepNext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22C8C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Учитывая криминогенную обстановку в районе, ожидаем что данный показатель в плановом периоде 202</w:t>
      </w: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1</w:t>
      </w:r>
      <w:r w:rsidRPr="00222C8C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-202</w:t>
      </w: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4</w:t>
      </w:r>
      <w:r w:rsidRPr="00222C8C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 xml:space="preserve"> годов составит:</w:t>
      </w:r>
    </w:p>
    <w:p w:rsidR="00EC138E" w:rsidRPr="00222C8C" w:rsidRDefault="00EC138E" w:rsidP="00EC138E">
      <w:pPr>
        <w:pStyle w:val="a7"/>
        <w:numPr>
          <w:ilvl w:val="0"/>
          <w:numId w:val="27"/>
        </w:num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 202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1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году: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157,4</w:t>
      </w:r>
      <w:r w:rsidRPr="00222C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единиц на 10 тыс. человек населения;</w:t>
      </w:r>
    </w:p>
    <w:p w:rsidR="00EC138E" w:rsidRPr="00222C8C" w:rsidRDefault="00EC138E" w:rsidP="00EC138E">
      <w:pPr>
        <w:pStyle w:val="a7"/>
        <w:numPr>
          <w:ilvl w:val="0"/>
          <w:numId w:val="27"/>
        </w:num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 202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2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году: по консервативному варианту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299,4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; по базовому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149,5 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единиц на 10 тыс. человек населения;</w:t>
      </w:r>
    </w:p>
    <w:p w:rsidR="00EC138E" w:rsidRPr="00222C8C" w:rsidRDefault="00EC138E" w:rsidP="00EC138E">
      <w:pPr>
        <w:pStyle w:val="a7"/>
        <w:numPr>
          <w:ilvl w:val="0"/>
          <w:numId w:val="27"/>
        </w:num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 202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3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году: по консервативному варианту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331,9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; по базовому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143,6 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единиц на 10 тыс. человек населения;</w:t>
      </w:r>
    </w:p>
    <w:p w:rsidR="00EC138E" w:rsidRPr="00222C8C" w:rsidRDefault="00EC138E" w:rsidP="00EC138E">
      <w:pPr>
        <w:pStyle w:val="a7"/>
        <w:numPr>
          <w:ilvl w:val="0"/>
          <w:numId w:val="27"/>
        </w:num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lastRenderedPageBreak/>
        <w:t>в 202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4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году: по консервативному варианту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350,9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; по базовому – </w:t>
      </w:r>
      <w:r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139,0 </w:t>
      </w:r>
      <w:r w:rsidRPr="00222C8C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единиц на 10 тыс. человек населения.</w:t>
      </w:r>
    </w:p>
    <w:p w:rsidR="0098501A" w:rsidRPr="002903E3" w:rsidRDefault="0098501A" w:rsidP="00C40E95">
      <w:pPr>
        <w:pStyle w:val="a7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903E3">
        <w:rPr>
          <w:rFonts w:ascii="Times New Roman" w:hAnsi="Times New Roman" w:cs="Times New Roman"/>
          <w:b/>
          <w:sz w:val="24"/>
          <w:szCs w:val="28"/>
        </w:rPr>
        <w:t>Охрана окружающей среды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Состояние окружающей среды влияет на качество жизни и здоровье населения Саткинского муниципального района, его безопасность и комфортные условия проживания могут быть обеспечены при условии поддержания равновесия между хозяйственной деятельностью и сохранением окружающей природной среды. Горно-металлургическая направленность экономики района, наличие транспортных магистралей, позволяет отнести 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Саткинский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район к числу районов Челябинской области с высокой техногенной нагрузкой, а наличие особо-охраняемых природных территорий федерального и регионального значения и уникальных природных комплексов позволяет считать его перспективным в отношении развития рекреационного комплекса.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Инвестиционная политика в прогнозируемый период будет направлена на сохранение благоприятных условий для привлечения в экономику Саткинского муниципального района инвестиций на охрану окружающей среды за счет всех источников финансирования.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В 2020 году направлено инвестиций в основной капитал на охрану окружающей среды за счет всех источников в сумме 1010,3 млн. рублей, в том числе средств федерального бюджета – 0,0 млн. рублей, средств областного бюджета 0,0 млн. рублей, средств местного бюджета 1,8 млн. рублей на реализацию комплекса мер по формированию экологической культуры создание,</w:t>
      </w:r>
      <w:r w:rsidRPr="002903E3">
        <w:rPr>
          <w:rFonts w:ascii="Times New Roman" w:hAnsi="Times New Roman" w:cs="Times New Roman"/>
          <w:sz w:val="24"/>
        </w:rPr>
        <w:t xml:space="preserve"> </w:t>
      </w:r>
      <w:r w:rsidRPr="002903E3">
        <w:rPr>
          <w:rFonts w:ascii="Times New Roman" w:hAnsi="Times New Roman" w:cs="Times New Roman"/>
          <w:color w:val="000000"/>
          <w:sz w:val="24"/>
        </w:rPr>
        <w:t xml:space="preserve">на снижение уровня негативного антропогенного воздействия на окружающую среду на территории муниципального образования Челябинской области  в рамках государственной программы «Охрана окружающей среды в Челябинской области», собственных средств предприятий 1008,5 млн. рублей. 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В 2021 году ожидаются инвестиции в основной капитал на охрану окружающей среды за счет всех источников в сумме 757,3 млн. рублей, в том числе средств федерального бюджета – 0,0 млн. рублей, средств областного бюджета 0,0 млн. рублей, средств местного бюджета 0,9 млн. рублей, собственных средств предприятий 756,4 млн. рублей.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Инвестиционные проекты ПАО «Комбинат «Магнезит»  и ООО «Группа «Магнезит» в 2020 году, 846,07 млн. рублей: выполнена реконструкция ПГУУ № 2 за вращающейся </w:t>
      </w:r>
      <w:r w:rsidRPr="002903E3">
        <w:rPr>
          <w:rFonts w:ascii="Times New Roman" w:hAnsi="Times New Roman" w:cs="Times New Roman"/>
          <w:color w:val="000000"/>
          <w:sz w:val="24"/>
        </w:rPr>
        <w:lastRenderedPageBreak/>
        <w:t xml:space="preserve">печью № 2 Департамента по производству порошков; введена в действие первая энергоемкая 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газообразовательная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нагревательная 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термопечь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с каналом охлаждения и системой дожигания отходящих дымовых газов компании «РИДХАММЕР»; проведено техническое обслуживание и ремонт аспирационно-технических установок; проведена работа по озеленению и высадке саженце деревьев, проведены 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водоохранные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и водохозяйственные мероприятия. 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Инвестиционные проекты АО «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Саткинский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чугуноплавильный завод» на сумму 156,2 млн. рублей в 2020 году: проведен капитальный ремонт системы газоочистки </w:t>
      </w:r>
      <w:r w:rsidRPr="002903E3">
        <w:rPr>
          <w:rFonts w:ascii="Times New Roman" w:hAnsi="Times New Roman" w:cs="Times New Roman"/>
          <w:color w:val="000000"/>
          <w:sz w:val="24"/>
          <w:lang w:val="en-US"/>
        </w:rPr>
        <w:t>I</w:t>
      </w:r>
      <w:r w:rsidRPr="002903E3">
        <w:rPr>
          <w:rFonts w:ascii="Times New Roman" w:hAnsi="Times New Roman" w:cs="Times New Roman"/>
          <w:color w:val="000000"/>
          <w:sz w:val="24"/>
        </w:rPr>
        <w:t xml:space="preserve"> и </w:t>
      </w:r>
      <w:r w:rsidRPr="002903E3">
        <w:rPr>
          <w:rFonts w:ascii="Times New Roman" w:hAnsi="Times New Roman" w:cs="Times New Roman"/>
          <w:color w:val="000000"/>
          <w:sz w:val="24"/>
          <w:lang w:val="en-US"/>
        </w:rPr>
        <w:t>II</w:t>
      </w:r>
      <w:r w:rsidRPr="002903E3">
        <w:rPr>
          <w:rFonts w:ascii="Times New Roman" w:hAnsi="Times New Roman" w:cs="Times New Roman"/>
          <w:color w:val="000000"/>
          <w:sz w:val="24"/>
        </w:rPr>
        <w:t xml:space="preserve"> ступени в агломерационном цехе,  реконструкция (монтаж) аспирационно-технической установки в ЦВП и ОФ, начата разработка проекта аспирационной установки от ДП № 1,3 доменного цеха и разработан проект оптимизации режимов работы высокотемпературных нагревателей (ВТВН) ДП № 1,3 доменного цеха ДЦ; проведена реконструкция ТЭЦ с установкой 2-х турбогенераторов и 3-х паровых котлов, а также монтаж установки водооборотного охлаждения.</w:t>
      </w:r>
    </w:p>
    <w:p w:rsidR="002903E3" w:rsidRPr="002903E3" w:rsidRDefault="002903E3" w:rsidP="002903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Прогноз снижения инвестиций на период 2022-2024 годов объясняется окончанием реализации значимых инвестиционных проектов градообразующего и ведущих предприятий Саткинского муниципального района.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Объемы сбросов загрязненных сточных вод в поверхностные водные объекты Саткинского муниципального района в </w:t>
      </w:r>
      <w:r w:rsidRPr="002903E3">
        <w:rPr>
          <w:rFonts w:ascii="Times New Roman" w:hAnsi="Times New Roman" w:cs="Times New Roman"/>
          <w:sz w:val="24"/>
        </w:rPr>
        <w:t>2019 году составили 48,3 миллиона кубических метров, что на 10,3 процента выше уровня 2018 года. В 2020 году объемы сбросов загрязненных сточных вод в поверхностные водные объекты Саткинского муниципального района составили 49,3 миллиона кубических метров, что на 3 процента выше 2019 года, в связи с введением в эксплуатацию второй доменной печи АО «</w:t>
      </w:r>
      <w:proofErr w:type="spellStart"/>
      <w:r w:rsidRPr="002903E3">
        <w:rPr>
          <w:rFonts w:ascii="Times New Roman" w:hAnsi="Times New Roman" w:cs="Times New Roman"/>
          <w:sz w:val="24"/>
        </w:rPr>
        <w:t>Саткинский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чугуноплавильный завод» и увеличением водопотребления на её охлаждение и, следовательно, сбросов.</w:t>
      </w:r>
      <w:r w:rsidRPr="002903E3">
        <w:rPr>
          <w:rFonts w:ascii="Times New Roman" w:hAnsi="Times New Roman" w:cs="Times New Roman"/>
          <w:color w:val="FF0000"/>
          <w:sz w:val="24"/>
        </w:rPr>
        <w:t xml:space="preserve"> </w:t>
      </w:r>
      <w:r w:rsidRPr="002903E3">
        <w:rPr>
          <w:rFonts w:ascii="Times New Roman" w:hAnsi="Times New Roman" w:cs="Times New Roman"/>
          <w:color w:val="000000"/>
          <w:sz w:val="24"/>
        </w:rPr>
        <w:t xml:space="preserve">В 2021 году они ожидаются в объеме 48,6 млн. куб. м. В последующие годы прогнозируемое снижение объема сброса загрязненных сточных вод в поверхностные водные объекты обусловлено изменением технологических процессов производства основных градообразующих предприятий города Сатка и строительством новых очистных сооружений. 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Состояние атмосферного воздуха характеризуется средним уровнем загрязнения. К основным источникам загрязнения атмосферы относятся объекты горно-металлургического и перерабатывающего комплекса, автомобильный транспорт, котельные и оборудование.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Выбросы загрязняющих веществ в атмосферный воздух от стационарных источников по данным </w:t>
      </w:r>
      <w:r w:rsidRPr="002903E3">
        <w:rPr>
          <w:rFonts w:ascii="Times New Roman" w:hAnsi="Times New Roman" w:cs="Times New Roman"/>
          <w:sz w:val="24"/>
        </w:rPr>
        <w:t xml:space="preserve">государственной статистической отчетности 2-тп (воздух) в 2019 году составили 16,4 тыс. тонн в год, что на 4,5 % больше, чем в 2018 году, в связи с увеличением объемов производства основных градообразующих предприятий. В 2020 году выбросы загрязняющих веществ в атмосферный воздух от стационарных источников составили 13,1 тыс. тонн. </w:t>
      </w:r>
      <w:r w:rsidRPr="002903E3">
        <w:rPr>
          <w:rFonts w:ascii="Times New Roman" w:hAnsi="Times New Roman" w:cs="Times New Roman"/>
          <w:color w:val="000000"/>
          <w:sz w:val="24"/>
        </w:rPr>
        <w:t xml:space="preserve">В последующие годы прогнозируемое снижение объема выброса загрязняющих веществ в атмосферный воздух от стационарных источников обусловлено изменением технологических процессов производства основных градообразующих предприятий города Сатка и </w:t>
      </w:r>
      <w:r w:rsidRPr="002903E3">
        <w:rPr>
          <w:rFonts w:ascii="Times New Roman" w:hAnsi="Times New Roman" w:cs="Times New Roman"/>
          <w:sz w:val="24"/>
        </w:rPr>
        <w:t xml:space="preserve">внедрением предприятиями нового </w:t>
      </w:r>
      <w:proofErr w:type="spellStart"/>
      <w:r w:rsidRPr="002903E3">
        <w:rPr>
          <w:rFonts w:ascii="Times New Roman" w:hAnsi="Times New Roman" w:cs="Times New Roman"/>
          <w:sz w:val="24"/>
        </w:rPr>
        <w:t>пылегазоулавливающего</w:t>
      </w:r>
      <w:proofErr w:type="spellEnd"/>
      <w:r w:rsidRPr="002903E3">
        <w:rPr>
          <w:rFonts w:ascii="Times New Roman" w:hAnsi="Times New Roman" w:cs="Times New Roman"/>
          <w:sz w:val="24"/>
        </w:rPr>
        <w:t xml:space="preserve"> оборудования и модернизацией существующих </w:t>
      </w:r>
      <w:proofErr w:type="spellStart"/>
      <w:r w:rsidRPr="002903E3">
        <w:rPr>
          <w:rFonts w:ascii="Times New Roman" w:hAnsi="Times New Roman" w:cs="Times New Roman"/>
          <w:sz w:val="24"/>
        </w:rPr>
        <w:t>пылегазоочистных</w:t>
      </w:r>
      <w:proofErr w:type="spellEnd"/>
      <w:r w:rsidRPr="002903E3">
        <w:rPr>
          <w:rFonts w:ascii="Times New Roman" w:hAnsi="Times New Roman" w:cs="Times New Roman"/>
          <w:sz w:val="24"/>
        </w:rPr>
        <w:t xml:space="preserve"> систем.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Водохозяйственная обстановка остается проблематичной, состояние рек Большая Сатка и р. Ай, по наблюдениям 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Гидрометслужбы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, классифицируется как «неудовлетворительное». Периодически регистрируются превышения допустимых концентраций по основному перечню показателей загрязнения воды. Основной вклад в загрязнение поверхностных водоемов вносят предприятия горно-металлургического и жилищно-коммунального комплекса. Происходит деградация, истощение и замусоривание малых рек и родников, которые являются основными источниками питьевого водоснабжения. Водоснабжение для хозяйственно-бытовых нужд населения города Сатка и Бакал осуществляется в основном из поверхностных источников, а остальных поселений Саткинского района из подземных водоносных горизонтов. Ведется регулярное наблюдение за состоянием поверхностных и подземных вод и их химическим и микробиологическим составом. 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>Потребление водных ресурсов в 2019 году составило всего 43,8 миллионов кубических метров, что выше уровня 2019 года на 12,9 процентов. Повышение обусловлено изменением технологического режима некоторых цехов основных градообразующих предприятий города Сатка, в связи с введением в эксплуатацию второй доменной печи АО «</w:t>
      </w:r>
      <w:proofErr w:type="spellStart"/>
      <w:r w:rsidRPr="002903E3">
        <w:rPr>
          <w:rFonts w:ascii="Times New Roman" w:hAnsi="Times New Roman" w:cs="Times New Roman"/>
          <w:color w:val="000000"/>
          <w:sz w:val="24"/>
        </w:rPr>
        <w:t>Саткинский</w:t>
      </w:r>
      <w:proofErr w:type="spellEnd"/>
      <w:r w:rsidRPr="002903E3">
        <w:rPr>
          <w:rFonts w:ascii="Times New Roman" w:hAnsi="Times New Roman" w:cs="Times New Roman"/>
          <w:color w:val="000000"/>
          <w:sz w:val="24"/>
        </w:rPr>
        <w:t xml:space="preserve"> чугуноплавильный завод» и увеличением водопотребления на её охлаждение. В последующие годы прогнозируемое снижение объема водопотребления обусловлено изменением технологических процессов производства основных градообразующих предприятий города Сатка.</w:t>
      </w:r>
    </w:p>
    <w:p w:rsidR="002903E3" w:rsidRPr="002903E3" w:rsidRDefault="002903E3" w:rsidP="002903E3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03E3">
        <w:rPr>
          <w:rFonts w:ascii="Times New Roman" w:hAnsi="Times New Roman" w:cs="Times New Roman"/>
          <w:color w:val="000000"/>
          <w:sz w:val="24"/>
        </w:rPr>
        <w:t xml:space="preserve">Объемы оборотного и повторно-последовательного использования воды в водохозяйственном балансе предприятий остаются неизменными на протяжении </w:t>
      </w:r>
      <w:r w:rsidRPr="002903E3">
        <w:rPr>
          <w:rFonts w:ascii="Times New Roman" w:hAnsi="Times New Roman" w:cs="Times New Roman"/>
          <w:color w:val="000000"/>
          <w:sz w:val="24"/>
          <w:szCs w:val="24"/>
        </w:rPr>
        <w:t>длительного периода и составляют 82,4 миллиона кубических метров. В 2020 году и прогнозе на 2021 – 2024 годы объем оборотного и повторно-последовательного использования воды останется неизменным и составит 82,4 млн. куб. м.</w:t>
      </w:r>
    </w:p>
    <w:p w:rsidR="007275D5" w:rsidRPr="00864FD1" w:rsidRDefault="007275D5" w:rsidP="007275D5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7275D5" w:rsidRPr="00864FD1" w:rsidRDefault="007275D5" w:rsidP="007275D5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</w:p>
    <w:p w:rsidR="008660D6" w:rsidRPr="00864FD1" w:rsidRDefault="008660D6" w:rsidP="00E80B22">
      <w:pPr>
        <w:shd w:val="clear" w:color="auto" w:fill="FFFFFF"/>
        <w:tabs>
          <w:tab w:val="left" w:pos="581"/>
        </w:tabs>
        <w:spacing w:line="360" w:lineRule="auto"/>
        <w:ind w:right="10" w:firstLine="567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8"/>
          <w:lang w:eastAsia="ru-RU"/>
        </w:rPr>
        <w:sectPr w:rsidR="008660D6" w:rsidRPr="00864FD1" w:rsidSect="009C5D2A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tbl>
      <w:tblPr>
        <w:tblpPr w:leftFromText="180" w:rightFromText="180" w:horzAnchor="margin" w:tblpY="-1695"/>
        <w:tblW w:w="4932" w:type="pct"/>
        <w:tblLook w:val="04A0"/>
      </w:tblPr>
      <w:tblGrid>
        <w:gridCol w:w="14753"/>
      </w:tblGrid>
      <w:tr w:rsidR="00864FD1" w:rsidRPr="00864FD1" w:rsidTr="00330F9A">
        <w:trPr>
          <w:trHeight w:val="6896"/>
        </w:trPr>
        <w:tc>
          <w:tcPr>
            <w:tcW w:w="5000" w:type="pct"/>
            <w:shd w:val="clear" w:color="auto" w:fill="auto"/>
            <w:vAlign w:val="center"/>
          </w:tcPr>
          <w:p w:rsidR="00330F9A" w:rsidRDefault="00330F9A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F9A" w:rsidRDefault="00330F9A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F9A" w:rsidRDefault="00330F9A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0F9A" w:rsidRDefault="00330F9A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E394E" w:rsidRDefault="001E394E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4A91" w:rsidRPr="00BC3D9B" w:rsidRDefault="004414BC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</w:t>
            </w:r>
            <w:r w:rsidRPr="00864FD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ab/>
            </w:r>
            <w:r w:rsidR="00134A91" w:rsidRPr="00BC3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Прогноз социально-экономического развития </w:t>
            </w:r>
          </w:p>
          <w:p w:rsidR="00EC1CCC" w:rsidRDefault="00134A91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Саткинского муниципального района на 2022 - 2024 годы</w:t>
            </w:r>
          </w:p>
          <w:p w:rsidR="00767C37" w:rsidRDefault="00767C37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tbl>
            <w:tblPr>
              <w:tblW w:w="14454" w:type="dxa"/>
              <w:tblLook w:val="04A0"/>
            </w:tblPr>
            <w:tblGrid>
              <w:gridCol w:w="4248"/>
              <w:gridCol w:w="1984"/>
              <w:gridCol w:w="1276"/>
              <w:gridCol w:w="1134"/>
              <w:gridCol w:w="958"/>
              <w:gridCol w:w="960"/>
              <w:gridCol w:w="960"/>
              <w:gridCol w:w="960"/>
              <w:gridCol w:w="960"/>
              <w:gridCol w:w="1014"/>
            </w:tblGrid>
            <w:tr w:rsidR="00767C37" w:rsidRPr="00065255" w:rsidTr="004E0707">
              <w:trPr>
                <w:trHeight w:val="285"/>
              </w:trPr>
              <w:tc>
                <w:tcPr>
                  <w:tcW w:w="42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отчет                2020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оценка 2021</w:t>
                  </w:r>
                </w:p>
              </w:tc>
              <w:tc>
                <w:tcPr>
                  <w:tcW w:w="581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прогноз</w:t>
                  </w:r>
                </w:p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67C37" w:rsidRPr="00065255" w:rsidTr="004E0707">
              <w:trPr>
                <w:trHeight w:val="345"/>
              </w:trPr>
              <w:tc>
                <w:tcPr>
                  <w:tcW w:w="42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2022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2023</w:t>
                  </w:r>
                </w:p>
              </w:tc>
              <w:tc>
                <w:tcPr>
                  <w:tcW w:w="19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2024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вариант 2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1.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Демографические показатели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постоянного населения (среднегодовая)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76,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75,5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74,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75,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74,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Общий коэффициент рождаемости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 на 1000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9,</w:t>
                  </w:r>
                  <w:r w:rsidR="00BC41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10,7</w:t>
                  </w:r>
                </w:p>
              </w:tc>
            </w:tr>
            <w:tr w:rsidR="00065255" w:rsidRPr="00065255" w:rsidTr="00BC4148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Общий коэффициент смертности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 на 1000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15,1</w:t>
                  </w:r>
                </w:p>
              </w:tc>
            </w:tr>
            <w:tr w:rsidR="00065255" w:rsidRPr="00065255" w:rsidTr="00BC4148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Коэффициент естественного прироста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 на 1000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-10,2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-11,7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-9,7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-10,6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-6,7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-4,4</w:t>
                  </w:r>
                </w:p>
              </w:tc>
            </w:tr>
            <w:tr w:rsidR="00065255" w:rsidRPr="00065255" w:rsidTr="00BC4148">
              <w:trPr>
                <w:trHeight w:val="34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Коэффициент миграционного прироста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 на 1000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-3,0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-0,1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67C37" w:rsidRPr="004E0707" w:rsidRDefault="00BC4148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-0,1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2.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Промышленное производство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96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42 830,0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45 075,1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46 598,9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47 301,4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48 462,9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49 979,4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50 799,5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53 171,1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индекс промышленного производства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3.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Сельское хозяйство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72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Выпуск продукции сельского хозяйства в хозяйствах всех категорий в ценах соответствующего периода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692,4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719,6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746,0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751,0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775,6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782,0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809,4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bCs/>
                      <w:sz w:val="21"/>
                      <w:szCs w:val="21"/>
                      <w:lang w:eastAsia="ru-RU"/>
                    </w:rPr>
                    <w:t>818,5</w:t>
                  </w:r>
                </w:p>
              </w:tc>
            </w:tr>
            <w:tr w:rsidR="00065255" w:rsidRPr="00065255" w:rsidTr="004E0707">
              <w:trPr>
                <w:trHeight w:val="63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производства продукции сельского хозяйства в хозяйствах всех категорий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100,6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 продукции сельского хозяйства в хозяйствах всех категорий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104,7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Растениеводство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433,0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450,6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467,7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469,5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488,7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491,7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производства продукции растениеводства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100,7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 продукции растениеводства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106,2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Животноводство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286,6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295,9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320,7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326,8</w:t>
                  </w:r>
                </w:p>
              </w:tc>
            </w:tr>
            <w:tr w:rsidR="00065255" w:rsidRPr="00065255" w:rsidTr="004E0707">
              <w:trPr>
                <w:trHeight w:val="51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производства продукции животноводства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100,5</w:t>
                  </w:r>
                </w:p>
              </w:tc>
            </w:tr>
            <w:tr w:rsidR="00065255" w:rsidRPr="00065255" w:rsidTr="004E0707">
              <w:trPr>
                <w:trHeight w:val="37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 продукции животноводства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4.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Рынок товаров и услуг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Оборот розничной торговли по крупным и средним организациям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5 235,5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5 655,8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6 005,6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6 029,3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6 376,7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6 427,3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6 771,0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6 851,5</w:t>
                  </w:r>
                </w:p>
              </w:tc>
            </w:tr>
            <w:tr w:rsidR="00065255" w:rsidRPr="00065255" w:rsidTr="004E0707">
              <w:trPr>
                <w:trHeight w:val="49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физического объема оборота розничной торговли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106,2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102,5</w:t>
                  </w:r>
                </w:p>
              </w:tc>
            </w:tr>
            <w:tr w:rsidR="00065255" w:rsidRPr="00065255" w:rsidTr="004E0707">
              <w:trPr>
                <w:trHeight w:val="28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Оборот общественного питания по крупным и средним организациям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70,9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76,6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87,0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91,7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92,8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физического объема оборота общественного питания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102,5</w:t>
                  </w:r>
                </w:p>
              </w:tc>
            </w:tr>
            <w:tr w:rsidR="00065255" w:rsidRPr="00065255" w:rsidTr="004E0707">
              <w:trPr>
                <w:trHeight w:val="30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105,6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Объем платных услуг населению по крупным и средним организациям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1 004,6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1 028,3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1 036,4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1 051,6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1 069,1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1 075,4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1 102,9</w:t>
                  </w:r>
                </w:p>
              </w:tc>
            </w:tr>
            <w:tr w:rsidR="00065255" w:rsidRPr="00065255" w:rsidTr="004E0707">
              <w:trPr>
                <w:trHeight w:val="49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физического объема платных услуг населению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99,1</w:t>
                  </w:r>
                </w:p>
              </w:tc>
            </w:tr>
            <w:tr w:rsidR="00065255" w:rsidRPr="00065255" w:rsidTr="004E0707">
              <w:trPr>
                <w:trHeight w:val="31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104,1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5.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Малое предпринимательство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 малых предприятий - всего по состоянию на конец года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единиц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365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341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352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Среднесписочная численность работников (без внешних совместителей), занятых на малых предприятиях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3,66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3,59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3,27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3,46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Оборот малых предприятий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9 948,4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10 303,6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10 567,8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10 695,5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10 958,0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11 156,7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11 385,4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11 660,2</w:t>
                  </w:r>
                </w:p>
              </w:tc>
            </w:tr>
            <w:tr w:rsidR="00065255" w:rsidRPr="00065255" w:rsidTr="004E0707">
              <w:trPr>
                <w:trHeight w:val="30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производства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6.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Инвестиции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96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Инвестиции в основной капитал за счет всех источников финансирования (без субъектов малого предпринимательства и параметров неформальной деятельности)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7 111,5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4 402,0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3 317,4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3 824,1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3 499,8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4 074,8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3 858,5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4 561,2</w:t>
                  </w:r>
                </w:p>
              </w:tc>
            </w:tr>
            <w:tr w:rsidR="00065255" w:rsidRPr="00065255" w:rsidTr="004E0707">
              <w:trPr>
                <w:trHeight w:val="60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физического объема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57,7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106,0</w:t>
                  </w:r>
                </w:p>
              </w:tc>
            </w:tr>
            <w:tr w:rsidR="00065255" w:rsidRPr="00065255" w:rsidTr="004E0707">
              <w:trPr>
                <w:trHeight w:val="40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107,2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105,6</w:t>
                  </w:r>
                </w:p>
              </w:tc>
            </w:tr>
            <w:tr w:rsidR="00065255" w:rsidRPr="00065255" w:rsidTr="004E0707">
              <w:trPr>
                <w:trHeight w:val="96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Инвестиции в основной капитал по источникам финансирования без субъектов малого предпринимательства и параметров неформальной деятельности: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7 111,5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4 402,0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3 317,4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3 824,1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3 499,8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4 074,8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3 858,5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4 561,2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Собственные средства предприятий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6 564,3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4 049,8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3 052,0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3 518,2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3 219,9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3 748,8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3 549,8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4 196,3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Привлеченные средства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547,2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352,2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265,4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280,0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326,0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308,7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364,9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кредиты банков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221,2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88,0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76,5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77,2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4E0707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4E070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91,2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заемные средства других организаций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35,2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26,5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36,5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средства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292,7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105,6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92,6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182,4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400" w:firstLine="8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федерального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67,5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77,4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400" w:firstLine="8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областного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90,0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65,5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90,0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400" w:firstLine="8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местного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внебюджетных фондов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123,3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92,9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108,0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54,7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работ, выполненных по виду деятельности "строительство"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427,7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445,4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462,2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475,7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486,4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518,9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524,6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593,8</w:t>
                  </w:r>
                </w:p>
              </w:tc>
            </w:tr>
            <w:tr w:rsidR="00065255" w:rsidRPr="00065255" w:rsidTr="004E0707">
              <w:trPr>
                <w:trHeight w:val="49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 физического объема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109,5</w:t>
                  </w:r>
                </w:p>
              </w:tc>
            </w:tr>
            <w:tr w:rsidR="00065255" w:rsidRPr="00065255" w:rsidTr="004E0707">
              <w:trPr>
                <w:trHeight w:val="33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Индекс-дефлятор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103,6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104,5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Среднегодовая стоимость имущества, облагаемого налогом на имущество организаций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5 642,3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6 150,1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6 599,0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6 697,4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7 087,4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7 286,8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7 647,3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7 906,2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7.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Бюджет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4E070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Консолидированный бюджет муниципального района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 Доходы,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3 403,20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3 101,70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3 654,40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3 287,20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1 169,80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Собственные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1 044,70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878,30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854,50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873,90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893,80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703,00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564,60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568,70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586,70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605,40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703,00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564,60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568,70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586,70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605,40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73,70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68,40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66,10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66,20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66,50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43,80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43,20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43,20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43,20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15,30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земельный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28,40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27,90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27,90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27,90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Налоги, сборы и регулярные платежи за пользование природными ресурсами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24,50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25,30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25,90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налог на добычу полезных ископаемых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24,50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25,30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25,90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Доходы от использования имущества, находящегося в муниципальной собственности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76,70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66,10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66,00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65,90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доходы от реализации имущества, находящегося в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4,30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2 358,50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2 223,40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2 799,90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2 413,30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276,00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дотации от других бюджетов бюджетной системы РФ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595,70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353,90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248,50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227,10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227,10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в том числе: дотации на выравнивание уровня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202,50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194,40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91,30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69,90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69,90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76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дотации на возмещение </w:t>
                  </w: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раходов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от содержания объектов </w:t>
                  </w: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жкх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социально-культурной сферы, переданных в ведение органов местного самоуправления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9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субвенции от других бюджетов бюджетной системы РФ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1 404,60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1 453,00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1 463,90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1 493,40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48,90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97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средства, получаемые по взаимным расчетам, в том числе компенсации дополнительных расходов , возникших в результате решений, принятых органами </w:t>
                  </w: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госвласти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субсидии от других бюджетов бюджетной системы РФ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346,20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377,10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1 050,00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655,30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прочие безвозмездные перечисления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41,70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72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-4,00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-23,00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Рыночные продажи товаров и услуг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доходы от продажи услуг, оказываемых муниципальными учреждениями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 Расходы,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3 451,74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3 402,10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3 654,40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3 287,20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1 169,80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232,17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256,90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203,40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198,00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162,70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функционирование местных администраций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81,98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217,68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262,50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296,40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298,90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79,60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500,45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293,60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526,90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90,30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1 511,59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1 575,60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1 483,40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1 389,60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566,30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Здравоохранение и спорт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74,60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239,60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83,50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71,80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692,06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733,90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734,40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767,10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26,50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 Дефицит (-), профицит (+)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-48,54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-300,40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8.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Денежные доходы и расходы населения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Доходы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18 377,9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19 002,9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19 744,1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19 953,1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20 612,8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21 070,4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21 519,8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22 271,5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предпринимательской деятельности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1 463,9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1 581,5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1 679,3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1 685,9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1 783,0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1 797,2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1 893,3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1 915,8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оплата труда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8 917,3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9 440,3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9 813,6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9 951,6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10 225,0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10 572,7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10 683,6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11 253,3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6 704,0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6 711,2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7 022,2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7 052,4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7 327,3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7 388,9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7 640,7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7 741,9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4 771,9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4 896,9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5 151,5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5 176,0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5 398,8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5 445,1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5 652,5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5 728,3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пособия и социальная помощь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1 790,4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1 672,1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1 722,2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1 727,2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1 773,9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1 787,7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1 827,1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1 850,3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стипендии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10,6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11,6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собственности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735,1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760,1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789,8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798,1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824,5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842,8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860,8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890,9</w:t>
                  </w:r>
                </w:p>
              </w:tc>
            </w:tr>
            <w:tr w:rsidR="00065255" w:rsidRPr="00065255" w:rsidTr="004E0707">
              <w:trPr>
                <w:trHeight w:val="33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557,6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509,8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439,2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465,1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453,0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468,8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441,4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469,6</w:t>
                  </w:r>
                </w:p>
              </w:tc>
            </w:tr>
            <w:tr w:rsidR="00065255" w:rsidRPr="00065255" w:rsidTr="004E0707">
              <w:trPr>
                <w:trHeight w:val="46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доходы в расчете на душу населения в месяц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19 771,9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20 713,1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21 775,9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21 978,7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22 968,0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23 363,9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24 192,2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24 808,0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и сбережения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14 451,3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14 957,1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15 690,1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15 764,9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16 474,7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16 663,4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17 314,9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17 579,9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покупка товаров и оплата услуг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11 459,9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12 266,0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12 947,9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13 007,1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13 667,9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13 794,7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14 431,1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14 631,9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300" w:firstLine="6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них покупка товаров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9 503,0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10 264,9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10 899,6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10 942,7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11 573,2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11 665,1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12 289,0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12 435,0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обязательные платежи и разнообразные взносы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2 863,6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2 515,0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2 565,3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2 577,9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2 603,8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2 629,4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2 655,9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2 708,3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расходы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176,1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176,9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179,9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239,3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227,9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239,7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Превышение доходов над расходами (+), или расходов над доходами (-)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3 926,6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4 045,8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4 054,0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4 188,2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4 138,1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4 407,0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4 204,9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4 691,6</w:t>
                  </w:r>
                </w:p>
              </w:tc>
            </w:tr>
            <w:tr w:rsidR="00065255" w:rsidRPr="00065255" w:rsidTr="004E0707">
              <w:trPr>
                <w:trHeight w:val="75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Средний размер назначенных месячных пенсий пенсионеров, состоящих на учете в отделениях Пенсионного фонда РФ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15 460,5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16 349,3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17 199,4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17 281,2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18 025,0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18 179,8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18 872,2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19 125,1</w:t>
                  </w:r>
                </w:p>
              </w:tc>
            </w:tr>
            <w:tr w:rsidR="00065255" w:rsidRPr="00065255" w:rsidTr="004E0707">
              <w:trPr>
                <w:trHeight w:val="40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Реальный размер назначенных пенсий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101,2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9.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Труд и занятость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Среднесписочная численность работников организаций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21,7</w:t>
                  </w:r>
                </w:p>
              </w:tc>
            </w:tr>
            <w:tr w:rsidR="00065255" w:rsidRPr="00065255" w:rsidTr="004E0707">
              <w:trPr>
                <w:trHeight w:val="30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Уровень зарегистрированной безработицы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2,2</w:t>
                  </w:r>
                </w:p>
              </w:tc>
            </w:tr>
            <w:tr w:rsidR="00065255" w:rsidRPr="00065255" w:rsidTr="004E0707">
              <w:trPr>
                <w:trHeight w:val="55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безработных, зарегистрированных в органах государственной службы занятости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1,18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0,89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0,92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0,79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0,75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0,65</w:t>
                  </w:r>
                </w:p>
              </w:tc>
            </w:tr>
            <w:tr w:rsidR="00065255" w:rsidRPr="00065255" w:rsidTr="004E0707">
              <w:trPr>
                <w:trHeight w:val="106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незанятых граждан, зарегистрированных в органах государственной службы занятости, в расчете на одну заявленную вакансию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2,3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Среднегодовая численность работников органов местного самоуправления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0,35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Фонд заработной платы работников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8 679,7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9 200,5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9 568,5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9 706,5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9 970,4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10 318,0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10 419,0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10 988,7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 социального характера - всего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6 704,0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6 711,2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7 022,2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7 052,4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7 327,3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7 388,9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7 640,7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7 741,9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10.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Развитие социальной сферы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10.1 Образование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детей в дошкольных образовательных учреждениях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</w:t>
                  </w:r>
                  <w:r w:rsidR="00206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4,71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4,20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3,85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3,90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Численность учащихся в учреждениях: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общеобразовательных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9 214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9 214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9 318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9 368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9 488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9 538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9 544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9 594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начального профессионального образования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</w:t>
                  </w:r>
                  <w:r w:rsidR="00206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</w:t>
                  </w: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0,40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среднего профессионального образования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</w:t>
                  </w:r>
                  <w:r w:rsidR="00206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1,85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Выпуск специалистов учреждениями: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начального профессионального образования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среднего профессионального образования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351</w:t>
                  </w:r>
                </w:p>
              </w:tc>
            </w:tr>
            <w:tr w:rsidR="00065255" w:rsidRPr="00065255" w:rsidTr="004E0707">
              <w:trPr>
                <w:trHeight w:val="72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95,17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94,17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94,20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95,05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93,97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94,03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94,06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село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Обеспеченность: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дошкольными образовательными учреждениями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 на 1 000 детей дошкольного возраста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1 004,2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1 125,9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1 244,7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1 228,57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1 244,7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1 228,57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1 228,6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1 212,82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10.2 Здравоохранение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Число заболеваний, зарегистрированных у больных с впервые установленным диагнозом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 на 1000 человек населения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859,9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780,8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763,0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762,7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759,9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758,1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756,8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755,0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Обеспеченность: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больничными койками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коек на 10 </w:t>
                  </w:r>
                </w:p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</w:t>
                  </w:r>
                  <w:r w:rsid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жителей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80,2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80,8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82,5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81,6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амбулаторно-поликлиническими учреждениями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посещений в смену на 10 тыс.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648,4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656,9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664,7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663,8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671,5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668,2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677,5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671,3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врачами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чел. на 10 тыс.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19,8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10.3 Культура и туризм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 обращений, посещений (внутренний туризм)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человек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16,0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16,0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17,0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17,0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18,0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18,0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19,0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Обеспеченность: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52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общедоступными  библиотеками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учрежд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на 10 тыс.населения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2,6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2,5</w:t>
                  </w:r>
                </w:p>
              </w:tc>
            </w:tr>
            <w:tr w:rsidR="00065255" w:rsidRPr="00065255" w:rsidTr="004E0707">
              <w:trPr>
                <w:trHeight w:val="52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учреждениями культурно-досугового типа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учрежд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на 10 тыс.населения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1,7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10.4 Ввод в эксплуатацию жилых домов за счет всех источников финансирования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кв. м общей площади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19,5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 за счет: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 местного бюджета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кв. м общей площади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0,5</w:t>
                  </w:r>
                </w:p>
              </w:tc>
            </w:tr>
            <w:tr w:rsidR="00065255" w:rsidRPr="00065255" w:rsidTr="004E0707">
              <w:trPr>
                <w:trHeight w:val="72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общего итога - индивидуальные жилые дома, построенные населением за свой счет и с помощью кредитов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 кв. м общей площади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12,1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7,3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7,5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8,3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10.5 Жилищно-коммунальные услуги, предоставляемые населению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Полная стоимость жилищно-коммунальных услуг, предоставляемых населению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1 824,30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2 014,20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2 177,70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2 099,80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2 270,20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2 189,20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2 366,80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2 282,60</w:t>
                  </w:r>
                </w:p>
              </w:tc>
            </w:tr>
            <w:tr w:rsidR="00065255" w:rsidRPr="00065255" w:rsidTr="004E0707">
              <w:trPr>
                <w:trHeight w:val="72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Предельная стоимость предоставляемых жилищно-коммунальных услуг на 1 кв.м общей площади жилья в месяц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/кв.м.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96,70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104,50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105,10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113,60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109,60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 капитального ремонта жилищного фонда на 1 кв. метр общей площади жилья в месяц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/кв.м.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8,60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8,40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площадь жилищного фонда, обслуживаемого жилищно-коммунальными организациями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тыс.кв.м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1 736,20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площадь жилых помещений, приходящаяся на 1 жителя  (на конец года)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кв.м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28,68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29,06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29,63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29,64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30,64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30,68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площадь ветхого аварийного муниципального жилищного фонда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тыс.кв.м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20,0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Уровень платежей граждан за жилищно-коммунальные услуги: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в % к общей стоимости ЖКУ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99,10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96,70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98,60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том числе: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установленный стандарт на территории муниципального образования;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в % к общей стоимости ЖКУ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фактический уровень платежей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в % к общей стоимости ЖКУ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98,30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93,50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97,20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населения на оплату жилищно-коммунальных услуг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1 053,60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1 095,70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1 185,10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1 139,50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1 232,50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1 185,10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1 281,80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1 232,50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Задолженность населения за предоставленные жилищно-коммунальные услуги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656,10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775,10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838,40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806,10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871,90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838,40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906,80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871,90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предоставление субсидий населению на оплату жилищно-коммунальных услуг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114,60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143,40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154,20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154,20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165,80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165,80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178,20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178,20</w:t>
                  </w:r>
                </w:p>
              </w:tc>
            </w:tr>
            <w:tr w:rsidR="00065255" w:rsidRPr="00065255" w:rsidTr="004E0707">
              <w:trPr>
                <w:trHeight w:val="39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10.6 Физкультура и спорт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51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населения, систематически занимающегося физической культурой и спортом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31,0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30,7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33,4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обучающихся, систематически занимающихся физической культурой и спортом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тыс.человек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15,0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10.7 Число зарегистрированных преступлений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 на 10 тыс. населения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122,8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157,4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299,4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149,5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331,9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143,6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350,9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139,0</w:t>
                  </w:r>
                </w:p>
              </w:tc>
            </w:tr>
            <w:tr w:rsidR="00065255" w:rsidRPr="00065255" w:rsidTr="004E0707">
              <w:trPr>
                <w:trHeight w:val="345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11. </w:t>
                  </w:r>
                  <w:r w:rsidRPr="000652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96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Инвестиции в основной капитал, направленные на охрану окружающей среды и рациональное использование природных ресурсов за счет всех источников финансирования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1010,30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757,30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568,20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379,30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426,40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190,20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320,00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95,60</w:t>
                  </w:r>
                </w:p>
              </w:tc>
            </w:tr>
            <w:tr w:rsidR="00065255" w:rsidRPr="00065255" w:rsidTr="004E0707">
              <w:trPr>
                <w:trHeight w:val="24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них за счет: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 федерального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 областного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0,00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 местного бюджета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0,90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0,90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1,10</w:t>
                  </w:r>
                </w:p>
              </w:tc>
            </w:tr>
            <w:tr w:rsidR="00065255" w:rsidRPr="00065255" w:rsidTr="004E0707">
              <w:trPr>
                <w:trHeight w:val="480"/>
              </w:trPr>
              <w:tc>
                <w:tcPr>
                  <w:tcW w:w="4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собственных средств предприятий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 рублей в ценах соответствующих лет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1008,50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756,40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567,30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378,20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425,50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189,10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319,10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94,50</w:t>
                  </w:r>
                </w:p>
              </w:tc>
            </w:tr>
            <w:tr w:rsidR="00065255" w:rsidRPr="00065255" w:rsidTr="004E0707">
              <w:trPr>
                <w:trHeight w:val="360"/>
              </w:trPr>
              <w:tc>
                <w:tcPr>
                  <w:tcW w:w="4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Сброс загрязненных сточных вод в поверхностные водные объекты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млн.куб.м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49,10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48,60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50,10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48,10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51,60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47,60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53,10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47,10</w:t>
                  </w:r>
                </w:p>
              </w:tc>
            </w:tr>
            <w:tr w:rsidR="00065255" w:rsidRPr="00065255" w:rsidTr="004E0707">
              <w:trPr>
                <w:trHeight w:val="315"/>
              </w:trPr>
              <w:tc>
                <w:tcPr>
                  <w:tcW w:w="4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103,0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102,9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</w:tr>
            <w:tr w:rsidR="00065255" w:rsidRPr="00065255" w:rsidTr="004E0707">
              <w:trPr>
                <w:trHeight w:val="360"/>
              </w:trPr>
              <w:tc>
                <w:tcPr>
                  <w:tcW w:w="4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Выбросы загрязняющих веществ в атмосферный воздух, отходящих от стационарных источников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13,10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12,90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12,70</w:t>
                  </w:r>
                </w:p>
              </w:tc>
            </w:tr>
            <w:tr w:rsidR="00065255" w:rsidRPr="00065255" w:rsidTr="004E0707">
              <w:trPr>
                <w:trHeight w:val="300"/>
              </w:trPr>
              <w:tc>
                <w:tcPr>
                  <w:tcW w:w="4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</w:tr>
            <w:tr w:rsidR="00065255" w:rsidRPr="00065255" w:rsidTr="004E0707">
              <w:trPr>
                <w:trHeight w:val="300"/>
              </w:trPr>
              <w:tc>
                <w:tcPr>
                  <w:tcW w:w="4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Объем водопотребления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млн.куб.м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37,60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36,80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37,60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36,50</w:t>
                  </w:r>
                </w:p>
              </w:tc>
            </w:tr>
            <w:tr w:rsidR="00065255" w:rsidRPr="00065255" w:rsidTr="004E0707">
              <w:trPr>
                <w:trHeight w:val="330"/>
              </w:trPr>
              <w:tc>
                <w:tcPr>
                  <w:tcW w:w="4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98,9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100,0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99,2</w:t>
                  </w:r>
                </w:p>
              </w:tc>
            </w:tr>
            <w:tr w:rsidR="00065255" w:rsidRPr="00065255" w:rsidTr="004E0707">
              <w:trPr>
                <w:trHeight w:val="315"/>
              </w:trPr>
              <w:tc>
                <w:tcPr>
                  <w:tcW w:w="4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оборотного и повторно-последовательного использования воды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млн.куб.м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82,40</w:t>
                  </w:r>
                </w:p>
              </w:tc>
            </w:tr>
            <w:tr w:rsidR="00065255" w:rsidRPr="00065255" w:rsidTr="004E0707">
              <w:trPr>
                <w:trHeight w:val="330"/>
              </w:trPr>
              <w:tc>
                <w:tcPr>
                  <w:tcW w:w="4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C37" w:rsidRPr="00065255" w:rsidRDefault="00767C37" w:rsidP="0077536C">
                  <w:pPr>
                    <w:framePr w:hSpace="180" w:wrap="around" w:hAnchor="margin" w:y="-169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52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 к предыдущему году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67C37" w:rsidRPr="00206A7A" w:rsidRDefault="00767C37" w:rsidP="0077536C">
                  <w:pPr>
                    <w:framePr w:hSpace="180" w:wrap="around" w:hAnchor="margin" w:y="-169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06A7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100,00</w:t>
                  </w:r>
                </w:p>
              </w:tc>
            </w:tr>
          </w:tbl>
          <w:p w:rsidR="00134A91" w:rsidRPr="00864FD1" w:rsidRDefault="00134A91" w:rsidP="00134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70781" w:rsidRPr="00864FD1" w:rsidRDefault="00270781" w:rsidP="001E394E">
      <w:pPr>
        <w:framePr w:h="9921" w:hRule="exact" w:wrap="auto" w:hAnchor="text"/>
        <w:autoSpaceDE w:val="0"/>
        <w:autoSpaceDN w:val="0"/>
        <w:adjustRightInd w:val="0"/>
        <w:spacing w:after="0" w:line="240" w:lineRule="auto"/>
        <w:ind w:right="253"/>
        <w:rPr>
          <w:rFonts w:ascii="Times New Roman" w:hAnsi="Times New Roman" w:cs="Times New Roman"/>
          <w:color w:val="FF0000"/>
          <w:sz w:val="18"/>
          <w:szCs w:val="18"/>
        </w:rPr>
        <w:sectPr w:rsidR="00270781" w:rsidRPr="00864FD1" w:rsidSect="001E394E">
          <w:pgSz w:w="16838" w:h="11906" w:orient="landscape"/>
          <w:pgMar w:top="1701" w:right="964" w:bottom="567" w:left="1134" w:header="709" w:footer="709" w:gutter="0"/>
          <w:cols w:space="708"/>
          <w:docGrid w:linePitch="360"/>
        </w:sectPr>
      </w:pPr>
      <w:bookmarkStart w:id="2" w:name="_GoBack"/>
      <w:bookmarkEnd w:id="2"/>
    </w:p>
    <w:p w:rsidR="000D7F43" w:rsidRPr="0085142D" w:rsidRDefault="001753F2" w:rsidP="000D7F43">
      <w:pPr>
        <w:pStyle w:val="a7"/>
        <w:numPr>
          <w:ilvl w:val="0"/>
          <w:numId w:val="21"/>
        </w:num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85142D">
        <w:rPr>
          <w:rFonts w:ascii="Times New Roman" w:hAnsi="Times New Roman" w:cs="Times New Roman"/>
          <w:sz w:val="24"/>
        </w:rPr>
        <w:t xml:space="preserve">Основные социально-экономические показатели </w:t>
      </w:r>
      <w:r w:rsidR="00514555" w:rsidRPr="0085142D">
        <w:rPr>
          <w:rFonts w:ascii="Times New Roman" w:hAnsi="Times New Roman" w:cs="Times New Roman"/>
          <w:sz w:val="24"/>
        </w:rPr>
        <w:t xml:space="preserve">развития </w:t>
      </w:r>
    </w:p>
    <w:p w:rsidR="001753F2" w:rsidRDefault="00514555" w:rsidP="000D7F43">
      <w:pPr>
        <w:pStyle w:val="a7"/>
        <w:spacing w:line="360" w:lineRule="auto"/>
        <w:ind w:left="1080"/>
        <w:jc w:val="center"/>
        <w:rPr>
          <w:rFonts w:ascii="Times New Roman" w:hAnsi="Times New Roman" w:cs="Times New Roman"/>
          <w:sz w:val="24"/>
        </w:rPr>
      </w:pPr>
      <w:r w:rsidRPr="0085142D">
        <w:rPr>
          <w:rFonts w:ascii="Times New Roman" w:hAnsi="Times New Roman" w:cs="Times New Roman"/>
          <w:sz w:val="24"/>
        </w:rPr>
        <w:t xml:space="preserve">Саткинского муниципального района </w:t>
      </w:r>
      <w:r w:rsidR="001753F2" w:rsidRPr="0085142D">
        <w:rPr>
          <w:rFonts w:ascii="Times New Roman" w:hAnsi="Times New Roman" w:cs="Times New Roman"/>
          <w:sz w:val="24"/>
        </w:rPr>
        <w:t>за январь – июнь 20</w:t>
      </w:r>
      <w:r w:rsidR="00F26633" w:rsidRPr="0085142D">
        <w:rPr>
          <w:rFonts w:ascii="Times New Roman" w:hAnsi="Times New Roman" w:cs="Times New Roman"/>
          <w:sz w:val="24"/>
        </w:rPr>
        <w:t>2</w:t>
      </w:r>
      <w:r w:rsidR="0085142D">
        <w:rPr>
          <w:rFonts w:ascii="Times New Roman" w:hAnsi="Times New Roman" w:cs="Times New Roman"/>
          <w:sz w:val="24"/>
        </w:rPr>
        <w:t>1</w:t>
      </w:r>
      <w:r w:rsidR="001753F2" w:rsidRPr="0085142D">
        <w:rPr>
          <w:rFonts w:ascii="Times New Roman" w:hAnsi="Times New Roman" w:cs="Times New Roman"/>
          <w:sz w:val="24"/>
        </w:rPr>
        <w:t xml:space="preserve"> года</w:t>
      </w:r>
    </w:p>
    <w:p w:rsidR="00B106C1" w:rsidRPr="0085142D" w:rsidRDefault="00B106C1" w:rsidP="000D7F43">
      <w:pPr>
        <w:pStyle w:val="a7"/>
        <w:spacing w:line="360" w:lineRule="auto"/>
        <w:ind w:left="1080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ar-SA"/>
        </w:rPr>
      </w:pPr>
      <w:r>
        <w:rPr>
          <w:rFonts w:ascii="Times New Roman" w:hAnsi="Times New Roman" w:cs="Times New Roman"/>
          <w:sz w:val="24"/>
        </w:rPr>
        <w:t>(предварительные итоги)</w:t>
      </w:r>
    </w:p>
    <w:tbl>
      <w:tblPr>
        <w:tblW w:w="5624" w:type="pct"/>
        <w:tblInd w:w="-764" w:type="dxa"/>
        <w:tblLayout w:type="fixed"/>
        <w:tblLook w:val="04A0"/>
      </w:tblPr>
      <w:tblGrid>
        <w:gridCol w:w="7888"/>
        <w:gridCol w:w="1604"/>
        <w:gridCol w:w="1272"/>
      </w:tblGrid>
      <w:tr w:rsidR="00864FD1" w:rsidRPr="00864FD1" w:rsidTr="002243AF">
        <w:trPr>
          <w:trHeight w:val="136"/>
        </w:trPr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85142D" w:rsidRDefault="001753F2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85142D" w:rsidRDefault="001753F2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Январь-июнь</w:t>
            </w:r>
          </w:p>
          <w:p w:rsidR="001753F2" w:rsidRPr="0085142D" w:rsidRDefault="001753F2" w:rsidP="008514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20</w:t>
            </w:r>
            <w:r w:rsidR="00F26633"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2</w:t>
            </w:r>
            <w:r w:rsidR="0085142D"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1</w:t>
            </w:r>
            <w:r w:rsidR="00F26633"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 xml:space="preserve"> </w:t>
            </w: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г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85142D" w:rsidRDefault="001753F2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 xml:space="preserve">в % к </w:t>
            </w:r>
          </w:p>
          <w:p w:rsidR="001753F2" w:rsidRPr="0085142D" w:rsidRDefault="001753F2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январю-июню</w:t>
            </w:r>
          </w:p>
          <w:p w:rsidR="001753F2" w:rsidRPr="0085142D" w:rsidRDefault="001753F2" w:rsidP="008514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20</w:t>
            </w:r>
            <w:r w:rsidR="0085142D"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>20</w:t>
            </w:r>
            <w:r w:rsidRPr="0085142D">
              <w:rPr>
                <w:rFonts w:ascii="Times New Roman" w:eastAsia="Times New Roman" w:hAnsi="Times New Roman" w:cs="Times New Roman"/>
                <w:bCs/>
                <w:szCs w:val="24"/>
                <w:lang w:eastAsia="ar-SA"/>
              </w:rPr>
              <w:t xml:space="preserve"> г</w:t>
            </w:r>
          </w:p>
        </w:tc>
      </w:tr>
      <w:tr w:rsidR="00864FD1" w:rsidRPr="00864FD1" w:rsidTr="002243AF">
        <w:trPr>
          <w:trHeight w:val="136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1753F2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Численность постоянного населения,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60B1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6 447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60B1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8,5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F543D7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1753F2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исло родившихся,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60B1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102,1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F543D7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1753F2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исло умерших,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101,5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1753F2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Естественный прирост (убыль),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60B1" w:rsidP="006D5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-2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100,8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F543D7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1753F2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исло прибывших,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D5E60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97,8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6F5FA3" w:rsidRDefault="00F543D7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1753F2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исло выбывших,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D5E60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6F5FA3"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6F5FA3" w:rsidRDefault="006F5FA3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F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109,3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AF5C20" w:rsidRDefault="001753F2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5C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Миграционный прирост (убыль),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AF5C20" w:rsidRDefault="006F60B1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5C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6F5FA3" w:rsidRPr="00AF5C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AF5C20" w:rsidRDefault="006F5FA3" w:rsidP="006F5F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5C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188,6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BD2747" w:rsidRDefault="001753F2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7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Индекс промышленного производства, %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BD2747" w:rsidRDefault="00AC6CBA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7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BD2747" w:rsidRDefault="00BD2747" w:rsidP="00BD27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7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108,8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B83B08" w:rsidRDefault="001753F2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3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Оборот крупных и средних организаций, млн. руб.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B83B08" w:rsidRDefault="00B83B08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3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29 476,6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B83B08" w:rsidRDefault="00B83B08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83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110,1</w:t>
            </w:r>
          </w:p>
        </w:tc>
      </w:tr>
      <w:tr w:rsidR="00864FD1" w:rsidRPr="00864FD1" w:rsidTr="002243AF">
        <w:trPr>
          <w:trHeight w:val="181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F2" w:rsidRPr="00567AF0" w:rsidRDefault="001753F2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7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отгруженной продукции собственного производства, выполненных работ и услуг </w:t>
            </w:r>
            <w:r w:rsidR="004524A9" w:rsidRPr="00567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«чистым» видам экономической деятельности </w:t>
            </w:r>
            <w:r w:rsidRPr="00567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крупным и средним организациям, млн.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567AF0" w:rsidRDefault="00567AF0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7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24 394,0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F2" w:rsidRPr="00567AF0" w:rsidRDefault="00567AF0" w:rsidP="001753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7A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115,4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BA" w:rsidRPr="00FC51FC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51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Инвестиции в основной капитал по крупным и средним организациям, </w:t>
            </w:r>
          </w:p>
          <w:p w:rsidR="00041C41" w:rsidRPr="00FC51FC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51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млн. рублей 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FC51FC" w:rsidRDefault="00FC51FC" w:rsidP="00910C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51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2 454,7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FC51FC" w:rsidRDefault="00FC51FC" w:rsidP="00FC51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51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74,6</w:t>
            </w:r>
            <w:r w:rsid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A3AE9" w:rsidRPr="00AA3AE9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CD6" w:rsidRPr="00AA3AE9" w:rsidRDefault="00B63CD6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Прибыль прибыльных организаций, млн.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CD6" w:rsidRPr="00AA3AE9" w:rsidRDefault="00AA3AE9" w:rsidP="00E664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1 208,6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CD6" w:rsidRPr="00AA3AE9" w:rsidRDefault="00AA3AE9" w:rsidP="008C4A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83,0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243001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 в действие общей площади жилых домов, кв. метров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243001" w:rsidRDefault="00243001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10 884,0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243001" w:rsidRDefault="00243001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161,3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BA" w:rsidRPr="00797607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Оборот розничной торговли по крупным и средним организациям, </w:t>
            </w:r>
          </w:p>
          <w:p w:rsidR="00041C41" w:rsidRPr="00797607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млн.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797607" w:rsidRDefault="00797607" w:rsidP="00797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2 823,2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797607" w:rsidRDefault="00910CAE" w:rsidP="00797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97607"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12,9</w:t>
            </w:r>
          </w:p>
        </w:tc>
      </w:tr>
      <w:tr w:rsidR="00864FD1" w:rsidRPr="00864FD1" w:rsidTr="002243AF">
        <w:trPr>
          <w:trHeight w:val="12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BA" w:rsidRPr="00797607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Оборот общественного питания по крупным и средним организациям, </w:t>
            </w:r>
          </w:p>
          <w:p w:rsidR="00041C41" w:rsidRPr="00797607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млн.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797607" w:rsidRDefault="00797607" w:rsidP="00797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44,3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797607" w:rsidRDefault="00797607" w:rsidP="00797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7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172,6</w:t>
            </w:r>
          </w:p>
        </w:tc>
      </w:tr>
      <w:tr w:rsidR="00864FD1" w:rsidRPr="00864FD1" w:rsidTr="002243AF">
        <w:trPr>
          <w:trHeight w:val="144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BA" w:rsidRPr="006844A9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44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платных услуг населению по крупным и средним организациям, </w:t>
            </w:r>
          </w:p>
          <w:p w:rsidR="00041C41" w:rsidRPr="006844A9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44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млн.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6844A9" w:rsidRDefault="006844A9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44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6844A9" w:rsidRDefault="006844A9" w:rsidP="00797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44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122,3</w:t>
            </w:r>
          </w:p>
        </w:tc>
      </w:tr>
      <w:tr w:rsidR="00864FD1" w:rsidRPr="00864FD1" w:rsidTr="002243AF">
        <w:trPr>
          <w:trHeight w:val="120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5B597B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Занято в экономике,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5B597B" w:rsidRDefault="005B597B" w:rsidP="004872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="00876D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5B597B" w:rsidRDefault="00B63CD6" w:rsidP="005B59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5B597B" w:rsidRP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3,9</w:t>
            </w:r>
          </w:p>
        </w:tc>
      </w:tr>
      <w:tr w:rsidR="00864FD1" w:rsidRPr="00864FD1" w:rsidTr="002243AF">
        <w:trPr>
          <w:trHeight w:val="206"/>
        </w:trPr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243001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Численность зарегистрированных безработных, человек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243001" w:rsidRDefault="00243001" w:rsidP="00E664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3B7F75" w:rsidRDefault="003B7F75" w:rsidP="000612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F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44,7</w:t>
            </w:r>
          </w:p>
        </w:tc>
      </w:tr>
      <w:tr w:rsidR="00864FD1" w:rsidRPr="00864FD1" w:rsidTr="002243AF">
        <w:trPr>
          <w:trHeight w:val="80"/>
        </w:trPr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243001" w:rsidRDefault="00041C41" w:rsidP="00D937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Уровень регистрируемой безработицы, %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243001" w:rsidRDefault="00243001" w:rsidP="00E664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30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2,3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3B7F75" w:rsidRDefault="003B7F75" w:rsidP="003B7F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F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C1CCC" w:rsidRPr="003B7F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</w:t>
            </w:r>
            <w:r w:rsidRPr="003B7F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EC1CCC" w:rsidRPr="003B7F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п.п.</w:t>
            </w:r>
          </w:p>
        </w:tc>
      </w:tr>
      <w:tr w:rsidR="00864FD1" w:rsidRPr="00864FD1" w:rsidTr="002243AF">
        <w:trPr>
          <w:trHeight w:val="221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85142D" w:rsidRDefault="00041C41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Среднесписочная численность работающих на крупных и средних предприятиях</w:t>
            </w:r>
            <w:r w:rsidR="0085142D"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(с численность работников до 15 чел)</w:t>
            </w: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человек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5142D" w:rsidRDefault="00910CAE" w:rsidP="008514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18 1</w:t>
            </w:r>
            <w:r w:rsidR="0085142D"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5142D" w:rsidRDefault="0085142D" w:rsidP="008514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100,4</w:t>
            </w:r>
          </w:p>
        </w:tc>
      </w:tr>
      <w:tr w:rsidR="00864FD1" w:rsidRPr="00864FD1" w:rsidTr="002243AF">
        <w:trPr>
          <w:trHeight w:val="133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C41" w:rsidRPr="00461913" w:rsidRDefault="00041C41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</w:t>
            </w:r>
            <w:r w:rsidR="00E646BB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зарегистрированных </w:t>
            </w: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субъектов малого и среднего бизнеса</w:t>
            </w:r>
            <w:r w:rsidR="00514555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(по данным ИФНС № 18 по </w:t>
            </w:r>
            <w:proofErr w:type="spellStart"/>
            <w:r w:rsidR="00514555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Челяб</w:t>
            </w:r>
            <w:proofErr w:type="spellEnd"/>
            <w:r w:rsidR="00514555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обл.)</w:t>
            </w: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единиц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C41" w:rsidRPr="00461913" w:rsidRDefault="00910CAE" w:rsidP="004619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1 5</w:t>
            </w:r>
            <w:r w:rsidR="00461913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C41" w:rsidRPr="00461913" w:rsidRDefault="00461913" w:rsidP="003950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99,2</w:t>
            </w:r>
          </w:p>
        </w:tc>
      </w:tr>
      <w:tr w:rsidR="00864FD1" w:rsidRPr="00864FD1" w:rsidTr="002243AF">
        <w:trPr>
          <w:trHeight w:val="195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86657C" w:rsidRDefault="00041C41" w:rsidP="003B51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Среднемесячная заработная плата работников крупных и средних организаций района</w:t>
            </w:r>
            <w:r w:rsidR="003B51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B518F"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(с численность работников до 15 чел),</w:t>
            </w: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6657C" w:rsidRDefault="002671B0" w:rsidP="008665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86657C"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6 664,6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6657C" w:rsidRDefault="002671B0" w:rsidP="008665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86657C"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6,5</w:t>
            </w:r>
          </w:p>
        </w:tc>
      </w:tr>
      <w:tr w:rsidR="00864FD1" w:rsidRPr="00864FD1" w:rsidTr="002243AF">
        <w:trPr>
          <w:trHeight w:val="195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41" w:rsidRPr="00AA3AE9" w:rsidRDefault="00041C41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Реальная заработная плата, %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AA3AE9" w:rsidRDefault="002671B0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AA3AE9" w:rsidRDefault="00370E6F" w:rsidP="00AA3A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AA3AE9" w:rsidRPr="00AA3A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1,2</w:t>
            </w:r>
          </w:p>
        </w:tc>
      </w:tr>
      <w:tr w:rsidR="00864FD1" w:rsidRPr="00864FD1" w:rsidTr="002243AF">
        <w:trPr>
          <w:trHeight w:val="195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7C" w:rsidRDefault="004524A9" w:rsidP="00461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Фонд заработной платы работников крупных и средних организаций </w:t>
            </w:r>
          </w:p>
          <w:p w:rsidR="004524A9" w:rsidRPr="00864FD1" w:rsidRDefault="00461913" w:rsidP="0046191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(с численность работников до 15 чел), </w:t>
            </w:r>
            <w:r w:rsidR="004524A9" w:rsidRPr="004619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A9" w:rsidRPr="0086657C" w:rsidRDefault="00910CAE" w:rsidP="00B83B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="0086657C"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989</w:t>
            </w:r>
            <w:r w:rsidR="005B59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6657C"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297,4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A9" w:rsidRPr="0086657C" w:rsidRDefault="002671B0" w:rsidP="008665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86657C" w:rsidRPr="008665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6,9</w:t>
            </w:r>
          </w:p>
        </w:tc>
      </w:tr>
      <w:tr w:rsidR="0085142D" w:rsidRPr="0085142D" w:rsidTr="002243AF">
        <w:trPr>
          <w:trHeight w:val="107"/>
        </w:trPr>
        <w:tc>
          <w:tcPr>
            <w:tcW w:w="3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B0" w:rsidRPr="0085142D" w:rsidRDefault="00041C41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Просроченная задолженность по заработной плате (официальная), </w:t>
            </w:r>
          </w:p>
          <w:p w:rsidR="00041C41" w:rsidRPr="0085142D" w:rsidRDefault="00041C41" w:rsidP="004D57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5142D" w:rsidRDefault="00CB0848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C41" w:rsidRPr="0085142D" w:rsidRDefault="00CB0848" w:rsidP="00041C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1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EA177D" w:rsidRPr="00EA177D" w:rsidTr="002243AF">
        <w:trPr>
          <w:trHeight w:val="40"/>
        </w:trPr>
        <w:tc>
          <w:tcPr>
            <w:tcW w:w="3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177D" w:rsidRDefault="00EA177D" w:rsidP="00910C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</w:p>
          <w:p w:rsidR="00876DB1" w:rsidRDefault="00041C41" w:rsidP="00910C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EA177D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Примечание:</w:t>
            </w:r>
            <w:r w:rsidR="009C5D2A" w:rsidRPr="00EA177D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 xml:space="preserve"> </w:t>
            </w:r>
          </w:p>
          <w:p w:rsidR="00041C41" w:rsidRDefault="009C5D2A" w:rsidP="00910C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EA177D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*</w:t>
            </w:r>
            <w:r w:rsidR="00041C41" w:rsidRPr="00EA177D"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в сопоставимых ценах</w:t>
            </w:r>
          </w:p>
          <w:p w:rsidR="00876DB1" w:rsidRPr="00EA177D" w:rsidRDefault="00876DB1" w:rsidP="00910C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ar-SA"/>
              </w:rPr>
              <w:t>** за 2020 год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C41" w:rsidRPr="00EA177D" w:rsidRDefault="00041C41" w:rsidP="00041C4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1C41" w:rsidRPr="00EA177D" w:rsidRDefault="00041C41" w:rsidP="00041C4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</w:tbl>
    <w:p w:rsidR="000D7F43" w:rsidRPr="00686AB3" w:rsidRDefault="000D7F43" w:rsidP="001753F2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</w:rPr>
        <w:sectPr w:rsidR="000D7F43" w:rsidRPr="00686AB3" w:rsidSect="000D7F4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53F2" w:rsidRPr="00686AB3" w:rsidRDefault="001753F2" w:rsidP="001753F2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</w:rPr>
      </w:pPr>
    </w:p>
    <w:sectPr w:rsidR="001753F2" w:rsidRPr="00686AB3" w:rsidSect="002707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36C" w:rsidRDefault="0077536C" w:rsidP="00154AB7">
      <w:pPr>
        <w:spacing w:after="0" w:line="240" w:lineRule="auto"/>
      </w:pPr>
      <w:r>
        <w:separator/>
      </w:r>
    </w:p>
  </w:endnote>
  <w:endnote w:type="continuationSeparator" w:id="0">
    <w:p w:rsidR="0077536C" w:rsidRDefault="0077536C" w:rsidP="0015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36C" w:rsidRDefault="0077536C" w:rsidP="00154AB7">
      <w:pPr>
        <w:spacing w:after="0" w:line="240" w:lineRule="auto"/>
      </w:pPr>
      <w:r>
        <w:separator/>
      </w:r>
    </w:p>
  </w:footnote>
  <w:footnote w:type="continuationSeparator" w:id="0">
    <w:p w:rsidR="0077536C" w:rsidRDefault="0077536C" w:rsidP="0015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2055987291"/>
      <w:docPartObj>
        <w:docPartGallery w:val="Page Numbers (Top of Page)"/>
        <w:docPartUnique/>
      </w:docPartObj>
    </w:sdtPr>
    <w:sdtContent>
      <w:p w:rsidR="00BC4148" w:rsidRPr="00154AB7" w:rsidRDefault="0079147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4A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C4148" w:rsidRPr="00154A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4A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498A"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154A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4148" w:rsidRDefault="00BC41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7EF"/>
    <w:multiLevelType w:val="hybridMultilevel"/>
    <w:tmpl w:val="1B201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22823"/>
    <w:multiLevelType w:val="hybridMultilevel"/>
    <w:tmpl w:val="74D2028E"/>
    <w:lvl w:ilvl="0" w:tplc="BD308D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7313E"/>
    <w:multiLevelType w:val="hybridMultilevel"/>
    <w:tmpl w:val="B52E3A9E"/>
    <w:lvl w:ilvl="0" w:tplc="770A5F28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3">
    <w:nsid w:val="0A8A037E"/>
    <w:multiLevelType w:val="multilevel"/>
    <w:tmpl w:val="73062088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0327439"/>
    <w:multiLevelType w:val="multilevel"/>
    <w:tmpl w:val="D8A4A6F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142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122F3FA2"/>
    <w:multiLevelType w:val="multilevel"/>
    <w:tmpl w:val="6256E83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15AE712E"/>
    <w:multiLevelType w:val="hybridMultilevel"/>
    <w:tmpl w:val="07D6F4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71273"/>
    <w:multiLevelType w:val="hybridMultilevel"/>
    <w:tmpl w:val="62BE6E90"/>
    <w:lvl w:ilvl="0" w:tplc="041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6E46E61"/>
    <w:multiLevelType w:val="hybridMultilevel"/>
    <w:tmpl w:val="BAFE42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82C7A06"/>
    <w:multiLevelType w:val="multilevel"/>
    <w:tmpl w:val="D8A4A6F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142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1A6F49C5"/>
    <w:multiLevelType w:val="multilevel"/>
    <w:tmpl w:val="15CA45D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1A9A38E9"/>
    <w:multiLevelType w:val="hybridMultilevel"/>
    <w:tmpl w:val="E0FE17D8"/>
    <w:lvl w:ilvl="0" w:tplc="9B849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0B50323"/>
    <w:multiLevelType w:val="hybridMultilevel"/>
    <w:tmpl w:val="5B3EE150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>
    <w:nsid w:val="20CC6DFE"/>
    <w:multiLevelType w:val="multilevel"/>
    <w:tmpl w:val="31840A0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20DE20BB"/>
    <w:multiLevelType w:val="multilevel"/>
    <w:tmpl w:val="73062088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212B2318"/>
    <w:multiLevelType w:val="hybridMultilevel"/>
    <w:tmpl w:val="A582F7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A150E9"/>
    <w:multiLevelType w:val="hybridMultilevel"/>
    <w:tmpl w:val="82C07594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7">
    <w:nsid w:val="28CE118A"/>
    <w:multiLevelType w:val="multilevel"/>
    <w:tmpl w:val="4EF2E8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29F0185C"/>
    <w:multiLevelType w:val="hybridMultilevel"/>
    <w:tmpl w:val="AE7EB052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27068"/>
    <w:multiLevelType w:val="hybridMultilevel"/>
    <w:tmpl w:val="5BFE7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45B58"/>
    <w:multiLevelType w:val="hybridMultilevel"/>
    <w:tmpl w:val="208AB756"/>
    <w:lvl w:ilvl="0" w:tplc="770A5F28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1">
    <w:nsid w:val="33075574"/>
    <w:multiLevelType w:val="hybridMultilevel"/>
    <w:tmpl w:val="F23C8B1C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2">
    <w:nsid w:val="40332BC0"/>
    <w:multiLevelType w:val="multilevel"/>
    <w:tmpl w:val="8F98204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41CB4EBA"/>
    <w:multiLevelType w:val="hybridMultilevel"/>
    <w:tmpl w:val="C9708BDE"/>
    <w:lvl w:ilvl="0" w:tplc="7DAEE8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B262B5"/>
    <w:multiLevelType w:val="hybridMultilevel"/>
    <w:tmpl w:val="3A2CF5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A54B8"/>
    <w:multiLevelType w:val="hybridMultilevel"/>
    <w:tmpl w:val="A230BC40"/>
    <w:lvl w:ilvl="0" w:tplc="9B849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C7E556F"/>
    <w:multiLevelType w:val="hybridMultilevel"/>
    <w:tmpl w:val="AF387A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2380D"/>
    <w:multiLevelType w:val="multilevel"/>
    <w:tmpl w:val="FEDE0FA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4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>
    <w:nsid w:val="4D254BFD"/>
    <w:multiLevelType w:val="hybridMultilevel"/>
    <w:tmpl w:val="A8462C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370C5"/>
    <w:multiLevelType w:val="hybridMultilevel"/>
    <w:tmpl w:val="050AC10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543C4127"/>
    <w:multiLevelType w:val="hybridMultilevel"/>
    <w:tmpl w:val="5BAE9E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4FA4A10"/>
    <w:multiLevelType w:val="hybridMultilevel"/>
    <w:tmpl w:val="090A03F0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B116045"/>
    <w:multiLevelType w:val="multilevel"/>
    <w:tmpl w:val="73062088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3">
    <w:nsid w:val="5D02608D"/>
    <w:multiLevelType w:val="multilevel"/>
    <w:tmpl w:val="15CA45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>
    <w:nsid w:val="5FBB4C44"/>
    <w:multiLevelType w:val="hybridMultilevel"/>
    <w:tmpl w:val="593E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06501"/>
    <w:multiLevelType w:val="hybridMultilevel"/>
    <w:tmpl w:val="29C00BBA"/>
    <w:lvl w:ilvl="0" w:tplc="770A5F28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36">
    <w:nsid w:val="663E3511"/>
    <w:multiLevelType w:val="hybridMultilevel"/>
    <w:tmpl w:val="11F66EA0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26B42C8"/>
    <w:multiLevelType w:val="hybridMultilevel"/>
    <w:tmpl w:val="7B5CFE02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02584"/>
    <w:multiLevelType w:val="multilevel"/>
    <w:tmpl w:val="DEF4D118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615"/>
      </w:pPr>
      <w:rPr>
        <w:rFonts w:hint="default"/>
      </w:rPr>
    </w:lvl>
    <w:lvl w:ilvl="2">
      <w:start w:val="1"/>
      <w:numFmt w:val="decimal"/>
      <w:lvlText w:val="%1.%2-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6600" w:hanging="1800"/>
      </w:pPr>
      <w:rPr>
        <w:rFonts w:hint="default"/>
      </w:rPr>
    </w:lvl>
  </w:abstractNum>
  <w:abstractNum w:abstractNumId="39">
    <w:nsid w:val="75312284"/>
    <w:multiLevelType w:val="hybridMultilevel"/>
    <w:tmpl w:val="A0E291D4"/>
    <w:lvl w:ilvl="0" w:tplc="D23AB8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6EC11F1"/>
    <w:multiLevelType w:val="hybridMultilevel"/>
    <w:tmpl w:val="8EC8FEE2"/>
    <w:lvl w:ilvl="0" w:tplc="AC303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630642"/>
    <w:multiLevelType w:val="multilevel"/>
    <w:tmpl w:val="8F98204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>
    <w:nsid w:val="7C547086"/>
    <w:multiLevelType w:val="hybridMultilevel"/>
    <w:tmpl w:val="4FA6F9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432C37"/>
    <w:multiLevelType w:val="hybridMultilevel"/>
    <w:tmpl w:val="A6D47D06"/>
    <w:lvl w:ilvl="0" w:tplc="9B849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3"/>
  </w:num>
  <w:num w:numId="3">
    <w:abstractNumId w:val="18"/>
  </w:num>
  <w:num w:numId="4">
    <w:abstractNumId w:val="6"/>
  </w:num>
  <w:num w:numId="5">
    <w:abstractNumId w:val="34"/>
  </w:num>
  <w:num w:numId="6">
    <w:abstractNumId w:val="12"/>
  </w:num>
  <w:num w:numId="7">
    <w:abstractNumId w:val="30"/>
  </w:num>
  <w:num w:numId="8">
    <w:abstractNumId w:val="5"/>
  </w:num>
  <w:num w:numId="9">
    <w:abstractNumId w:val="38"/>
  </w:num>
  <w:num w:numId="10">
    <w:abstractNumId w:val="25"/>
  </w:num>
  <w:num w:numId="11">
    <w:abstractNumId w:val="40"/>
  </w:num>
  <w:num w:numId="12">
    <w:abstractNumId w:val="13"/>
  </w:num>
  <w:num w:numId="13">
    <w:abstractNumId w:val="17"/>
  </w:num>
  <w:num w:numId="14">
    <w:abstractNumId w:val="3"/>
  </w:num>
  <w:num w:numId="15">
    <w:abstractNumId w:val="32"/>
  </w:num>
  <w:num w:numId="16">
    <w:abstractNumId w:val="14"/>
  </w:num>
  <w:num w:numId="17">
    <w:abstractNumId w:val="10"/>
  </w:num>
  <w:num w:numId="18">
    <w:abstractNumId w:val="27"/>
  </w:num>
  <w:num w:numId="19">
    <w:abstractNumId w:val="4"/>
  </w:num>
  <w:num w:numId="20">
    <w:abstractNumId w:val="9"/>
  </w:num>
  <w:num w:numId="21">
    <w:abstractNumId w:val="1"/>
  </w:num>
  <w:num w:numId="22">
    <w:abstractNumId w:val="16"/>
  </w:num>
  <w:num w:numId="23">
    <w:abstractNumId w:val="11"/>
  </w:num>
  <w:num w:numId="24">
    <w:abstractNumId w:val="7"/>
  </w:num>
  <w:num w:numId="25">
    <w:abstractNumId w:val="41"/>
  </w:num>
  <w:num w:numId="26">
    <w:abstractNumId w:val="22"/>
  </w:num>
  <w:num w:numId="27">
    <w:abstractNumId w:val="43"/>
  </w:num>
  <w:num w:numId="28">
    <w:abstractNumId w:val="21"/>
  </w:num>
  <w:num w:numId="29">
    <w:abstractNumId w:val="26"/>
  </w:num>
  <w:num w:numId="30">
    <w:abstractNumId w:val="29"/>
  </w:num>
  <w:num w:numId="31">
    <w:abstractNumId w:val="23"/>
  </w:num>
  <w:num w:numId="32">
    <w:abstractNumId w:val="19"/>
  </w:num>
  <w:num w:numId="33">
    <w:abstractNumId w:val="15"/>
  </w:num>
  <w:num w:numId="34">
    <w:abstractNumId w:val="37"/>
  </w:num>
  <w:num w:numId="35">
    <w:abstractNumId w:val="20"/>
  </w:num>
  <w:num w:numId="36">
    <w:abstractNumId w:val="2"/>
  </w:num>
  <w:num w:numId="37">
    <w:abstractNumId w:val="35"/>
  </w:num>
  <w:num w:numId="38">
    <w:abstractNumId w:val="8"/>
  </w:num>
  <w:num w:numId="39">
    <w:abstractNumId w:val="39"/>
  </w:num>
  <w:num w:numId="40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12"/>
  </w:num>
  <w:num w:numId="43">
    <w:abstractNumId w:val="36"/>
  </w:num>
  <w:num w:numId="44">
    <w:abstractNumId w:val="0"/>
  </w:num>
  <w:num w:numId="45">
    <w:abstractNumId w:val="42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D7E71"/>
    <w:rsid w:val="0000062D"/>
    <w:rsid w:val="0000689D"/>
    <w:rsid w:val="00011420"/>
    <w:rsid w:val="00012E26"/>
    <w:rsid w:val="00021D02"/>
    <w:rsid w:val="0002532B"/>
    <w:rsid w:val="00025DDF"/>
    <w:rsid w:val="000262EC"/>
    <w:rsid w:val="00034C01"/>
    <w:rsid w:val="00041C41"/>
    <w:rsid w:val="0004342F"/>
    <w:rsid w:val="000477A9"/>
    <w:rsid w:val="000518B4"/>
    <w:rsid w:val="000519D7"/>
    <w:rsid w:val="000537D5"/>
    <w:rsid w:val="00055998"/>
    <w:rsid w:val="00055FD4"/>
    <w:rsid w:val="00061281"/>
    <w:rsid w:val="000639AD"/>
    <w:rsid w:val="00064F34"/>
    <w:rsid w:val="00065255"/>
    <w:rsid w:val="00067C01"/>
    <w:rsid w:val="00072A68"/>
    <w:rsid w:val="00076E82"/>
    <w:rsid w:val="00080976"/>
    <w:rsid w:val="000942FF"/>
    <w:rsid w:val="00097ED5"/>
    <w:rsid w:val="000A0ADD"/>
    <w:rsid w:val="000A404A"/>
    <w:rsid w:val="000A4723"/>
    <w:rsid w:val="000B5FC9"/>
    <w:rsid w:val="000C6AA8"/>
    <w:rsid w:val="000C6B51"/>
    <w:rsid w:val="000D0C93"/>
    <w:rsid w:val="000D2E12"/>
    <w:rsid w:val="000D30BE"/>
    <w:rsid w:val="000D37AD"/>
    <w:rsid w:val="000D3F93"/>
    <w:rsid w:val="000D7F43"/>
    <w:rsid w:val="000F3AA0"/>
    <w:rsid w:val="000F5A75"/>
    <w:rsid w:val="00103ABA"/>
    <w:rsid w:val="0011042C"/>
    <w:rsid w:val="00110446"/>
    <w:rsid w:val="00112087"/>
    <w:rsid w:val="00115BA9"/>
    <w:rsid w:val="00115EFA"/>
    <w:rsid w:val="00134A91"/>
    <w:rsid w:val="00134C57"/>
    <w:rsid w:val="00135211"/>
    <w:rsid w:val="00146A5C"/>
    <w:rsid w:val="00153BEA"/>
    <w:rsid w:val="00154AB7"/>
    <w:rsid w:val="00154B35"/>
    <w:rsid w:val="00155495"/>
    <w:rsid w:val="0015607F"/>
    <w:rsid w:val="001564D6"/>
    <w:rsid w:val="0017214E"/>
    <w:rsid w:val="00172F07"/>
    <w:rsid w:val="001753F2"/>
    <w:rsid w:val="00176BDD"/>
    <w:rsid w:val="00180B8D"/>
    <w:rsid w:val="00180CE9"/>
    <w:rsid w:val="00181D3B"/>
    <w:rsid w:val="00182A75"/>
    <w:rsid w:val="00183EB5"/>
    <w:rsid w:val="00184703"/>
    <w:rsid w:val="0018540B"/>
    <w:rsid w:val="0019140B"/>
    <w:rsid w:val="0019157B"/>
    <w:rsid w:val="001A1D29"/>
    <w:rsid w:val="001A2A8E"/>
    <w:rsid w:val="001A5E69"/>
    <w:rsid w:val="001B075B"/>
    <w:rsid w:val="001B3791"/>
    <w:rsid w:val="001B62DE"/>
    <w:rsid w:val="001B7554"/>
    <w:rsid w:val="001C7BE9"/>
    <w:rsid w:val="001D0FC6"/>
    <w:rsid w:val="001D7343"/>
    <w:rsid w:val="001E394E"/>
    <w:rsid w:val="001E40E4"/>
    <w:rsid w:val="001F0430"/>
    <w:rsid w:val="001F4F71"/>
    <w:rsid w:val="0020191A"/>
    <w:rsid w:val="00202781"/>
    <w:rsid w:val="00204389"/>
    <w:rsid w:val="00206A7A"/>
    <w:rsid w:val="00211761"/>
    <w:rsid w:val="00213735"/>
    <w:rsid w:val="00213945"/>
    <w:rsid w:val="00216693"/>
    <w:rsid w:val="002243AF"/>
    <w:rsid w:val="002278E6"/>
    <w:rsid w:val="00230A25"/>
    <w:rsid w:val="00232F15"/>
    <w:rsid w:val="002365E0"/>
    <w:rsid w:val="00237344"/>
    <w:rsid w:val="00240C16"/>
    <w:rsid w:val="002412CF"/>
    <w:rsid w:val="00243001"/>
    <w:rsid w:val="00253DB7"/>
    <w:rsid w:val="002671B0"/>
    <w:rsid w:val="00270781"/>
    <w:rsid w:val="00273139"/>
    <w:rsid w:val="00274832"/>
    <w:rsid w:val="00277598"/>
    <w:rsid w:val="002821D0"/>
    <w:rsid w:val="002903E3"/>
    <w:rsid w:val="002943FF"/>
    <w:rsid w:val="00294484"/>
    <w:rsid w:val="00295707"/>
    <w:rsid w:val="002A0B89"/>
    <w:rsid w:val="002A1497"/>
    <w:rsid w:val="002A179F"/>
    <w:rsid w:val="002A3C0C"/>
    <w:rsid w:val="002A672D"/>
    <w:rsid w:val="002A6C19"/>
    <w:rsid w:val="002A6E8A"/>
    <w:rsid w:val="002B2B7A"/>
    <w:rsid w:val="002B6724"/>
    <w:rsid w:val="002B7BE7"/>
    <w:rsid w:val="002C46BD"/>
    <w:rsid w:val="002D6B7B"/>
    <w:rsid w:val="002E59CD"/>
    <w:rsid w:val="002F3460"/>
    <w:rsid w:val="002F3818"/>
    <w:rsid w:val="002F4BC3"/>
    <w:rsid w:val="002F6D62"/>
    <w:rsid w:val="002F7229"/>
    <w:rsid w:val="00302230"/>
    <w:rsid w:val="0030610F"/>
    <w:rsid w:val="00323C27"/>
    <w:rsid w:val="00325472"/>
    <w:rsid w:val="00330F9A"/>
    <w:rsid w:val="003310B9"/>
    <w:rsid w:val="00333BD1"/>
    <w:rsid w:val="00336FBE"/>
    <w:rsid w:val="00347E08"/>
    <w:rsid w:val="0036215D"/>
    <w:rsid w:val="0036724C"/>
    <w:rsid w:val="00370DE4"/>
    <w:rsid w:val="00370E6F"/>
    <w:rsid w:val="003744F4"/>
    <w:rsid w:val="003778AF"/>
    <w:rsid w:val="00385F5B"/>
    <w:rsid w:val="00394E96"/>
    <w:rsid w:val="0039500D"/>
    <w:rsid w:val="0039774C"/>
    <w:rsid w:val="003A537D"/>
    <w:rsid w:val="003A6990"/>
    <w:rsid w:val="003B0FE1"/>
    <w:rsid w:val="003B518F"/>
    <w:rsid w:val="003B7F75"/>
    <w:rsid w:val="003C219F"/>
    <w:rsid w:val="003C2227"/>
    <w:rsid w:val="003C2A15"/>
    <w:rsid w:val="003C5738"/>
    <w:rsid w:val="003C7BF1"/>
    <w:rsid w:val="003D2F1E"/>
    <w:rsid w:val="003D57A4"/>
    <w:rsid w:val="003D7E71"/>
    <w:rsid w:val="003F0B40"/>
    <w:rsid w:val="003F28AF"/>
    <w:rsid w:val="003F390F"/>
    <w:rsid w:val="00404810"/>
    <w:rsid w:val="004266DD"/>
    <w:rsid w:val="00432C4D"/>
    <w:rsid w:val="004414BC"/>
    <w:rsid w:val="00445032"/>
    <w:rsid w:val="00447B9D"/>
    <w:rsid w:val="004519B1"/>
    <w:rsid w:val="00452443"/>
    <w:rsid w:val="004524A9"/>
    <w:rsid w:val="00461913"/>
    <w:rsid w:val="004822E5"/>
    <w:rsid w:val="00483B3D"/>
    <w:rsid w:val="00486ADC"/>
    <w:rsid w:val="004872FD"/>
    <w:rsid w:val="00490B0C"/>
    <w:rsid w:val="0049437F"/>
    <w:rsid w:val="004A4FF1"/>
    <w:rsid w:val="004A6689"/>
    <w:rsid w:val="004C1FA3"/>
    <w:rsid w:val="004C4616"/>
    <w:rsid w:val="004D0085"/>
    <w:rsid w:val="004D45D6"/>
    <w:rsid w:val="004D5726"/>
    <w:rsid w:val="004D5856"/>
    <w:rsid w:val="004D6686"/>
    <w:rsid w:val="004E0707"/>
    <w:rsid w:val="004E1DBE"/>
    <w:rsid w:val="004F68F8"/>
    <w:rsid w:val="00500672"/>
    <w:rsid w:val="00500E34"/>
    <w:rsid w:val="005032ED"/>
    <w:rsid w:val="00504C8C"/>
    <w:rsid w:val="00505122"/>
    <w:rsid w:val="00505C19"/>
    <w:rsid w:val="00511FAF"/>
    <w:rsid w:val="00514555"/>
    <w:rsid w:val="00514D9E"/>
    <w:rsid w:val="005152DF"/>
    <w:rsid w:val="00515CBA"/>
    <w:rsid w:val="00526C79"/>
    <w:rsid w:val="005343A9"/>
    <w:rsid w:val="00540851"/>
    <w:rsid w:val="0055562E"/>
    <w:rsid w:val="00555F70"/>
    <w:rsid w:val="00556691"/>
    <w:rsid w:val="005616E0"/>
    <w:rsid w:val="00564CCC"/>
    <w:rsid w:val="00567AF0"/>
    <w:rsid w:val="005828B1"/>
    <w:rsid w:val="00585226"/>
    <w:rsid w:val="005925F9"/>
    <w:rsid w:val="00595F72"/>
    <w:rsid w:val="005A3087"/>
    <w:rsid w:val="005A481D"/>
    <w:rsid w:val="005A55DB"/>
    <w:rsid w:val="005B0D59"/>
    <w:rsid w:val="005B4916"/>
    <w:rsid w:val="005B597B"/>
    <w:rsid w:val="005C6810"/>
    <w:rsid w:val="005D05D5"/>
    <w:rsid w:val="005D0B0B"/>
    <w:rsid w:val="005D1B69"/>
    <w:rsid w:val="005E0930"/>
    <w:rsid w:val="005E2B0C"/>
    <w:rsid w:val="005E2DF3"/>
    <w:rsid w:val="005E652B"/>
    <w:rsid w:val="005F5814"/>
    <w:rsid w:val="006019D7"/>
    <w:rsid w:val="006042D1"/>
    <w:rsid w:val="006052C1"/>
    <w:rsid w:val="00616224"/>
    <w:rsid w:val="00616FCB"/>
    <w:rsid w:val="00630C1B"/>
    <w:rsid w:val="00636F9B"/>
    <w:rsid w:val="00640B38"/>
    <w:rsid w:val="0064139E"/>
    <w:rsid w:val="0065481F"/>
    <w:rsid w:val="006607A2"/>
    <w:rsid w:val="00663245"/>
    <w:rsid w:val="006667E5"/>
    <w:rsid w:val="006732C0"/>
    <w:rsid w:val="0067349E"/>
    <w:rsid w:val="006757ED"/>
    <w:rsid w:val="006844A9"/>
    <w:rsid w:val="00686AB3"/>
    <w:rsid w:val="0069389E"/>
    <w:rsid w:val="006A21CA"/>
    <w:rsid w:val="006A4AEE"/>
    <w:rsid w:val="006B232A"/>
    <w:rsid w:val="006C3276"/>
    <w:rsid w:val="006C5EE9"/>
    <w:rsid w:val="006C721A"/>
    <w:rsid w:val="006D36E1"/>
    <w:rsid w:val="006D5E60"/>
    <w:rsid w:val="006F2013"/>
    <w:rsid w:val="006F3FFD"/>
    <w:rsid w:val="006F5FA3"/>
    <w:rsid w:val="006F60B1"/>
    <w:rsid w:val="007035D1"/>
    <w:rsid w:val="00704642"/>
    <w:rsid w:val="00706F5D"/>
    <w:rsid w:val="00710BF4"/>
    <w:rsid w:val="00711041"/>
    <w:rsid w:val="007204BC"/>
    <w:rsid w:val="007275D5"/>
    <w:rsid w:val="00727DC0"/>
    <w:rsid w:val="0073003D"/>
    <w:rsid w:val="00730D74"/>
    <w:rsid w:val="0073754D"/>
    <w:rsid w:val="00737A2D"/>
    <w:rsid w:val="00741746"/>
    <w:rsid w:val="007519E8"/>
    <w:rsid w:val="00755668"/>
    <w:rsid w:val="00756652"/>
    <w:rsid w:val="00757956"/>
    <w:rsid w:val="00761760"/>
    <w:rsid w:val="00767C37"/>
    <w:rsid w:val="0077536C"/>
    <w:rsid w:val="00791478"/>
    <w:rsid w:val="007954DA"/>
    <w:rsid w:val="00796F95"/>
    <w:rsid w:val="00797607"/>
    <w:rsid w:val="00797C57"/>
    <w:rsid w:val="007A6E09"/>
    <w:rsid w:val="007B3793"/>
    <w:rsid w:val="007B4D47"/>
    <w:rsid w:val="007E0E90"/>
    <w:rsid w:val="007E1041"/>
    <w:rsid w:val="007E2218"/>
    <w:rsid w:val="007E4542"/>
    <w:rsid w:val="007E5914"/>
    <w:rsid w:val="00805436"/>
    <w:rsid w:val="008060DA"/>
    <w:rsid w:val="00814E6F"/>
    <w:rsid w:val="00817346"/>
    <w:rsid w:val="00820D33"/>
    <w:rsid w:val="008233D7"/>
    <w:rsid w:val="00824552"/>
    <w:rsid w:val="008321C9"/>
    <w:rsid w:val="00832253"/>
    <w:rsid w:val="008442CD"/>
    <w:rsid w:val="0084432A"/>
    <w:rsid w:val="0084507D"/>
    <w:rsid w:val="00845369"/>
    <w:rsid w:val="0085142D"/>
    <w:rsid w:val="00855AB3"/>
    <w:rsid w:val="00856FDA"/>
    <w:rsid w:val="008620F0"/>
    <w:rsid w:val="00864096"/>
    <w:rsid w:val="00864FD1"/>
    <w:rsid w:val="00866004"/>
    <w:rsid w:val="008660D6"/>
    <w:rsid w:val="0086657C"/>
    <w:rsid w:val="008759AE"/>
    <w:rsid w:val="00875F94"/>
    <w:rsid w:val="00876DB1"/>
    <w:rsid w:val="00883DB1"/>
    <w:rsid w:val="00883E62"/>
    <w:rsid w:val="00884213"/>
    <w:rsid w:val="00887A0C"/>
    <w:rsid w:val="0089086C"/>
    <w:rsid w:val="0089371B"/>
    <w:rsid w:val="0089745E"/>
    <w:rsid w:val="008A1F3B"/>
    <w:rsid w:val="008B5CAE"/>
    <w:rsid w:val="008B6509"/>
    <w:rsid w:val="008C4AAA"/>
    <w:rsid w:val="008C4F42"/>
    <w:rsid w:val="008C680C"/>
    <w:rsid w:val="008C6AD9"/>
    <w:rsid w:val="008D3FE4"/>
    <w:rsid w:val="008E38B3"/>
    <w:rsid w:val="008F35BD"/>
    <w:rsid w:val="00900B0A"/>
    <w:rsid w:val="009026DD"/>
    <w:rsid w:val="009041A5"/>
    <w:rsid w:val="009050B8"/>
    <w:rsid w:val="00910CAE"/>
    <w:rsid w:val="00915B2F"/>
    <w:rsid w:val="00917611"/>
    <w:rsid w:val="0092487B"/>
    <w:rsid w:val="00927178"/>
    <w:rsid w:val="00927285"/>
    <w:rsid w:val="00942FEA"/>
    <w:rsid w:val="00944B5B"/>
    <w:rsid w:val="00944DF2"/>
    <w:rsid w:val="009468DC"/>
    <w:rsid w:val="00953DA2"/>
    <w:rsid w:val="00954770"/>
    <w:rsid w:val="00962F8C"/>
    <w:rsid w:val="009735B9"/>
    <w:rsid w:val="00976B1E"/>
    <w:rsid w:val="00981224"/>
    <w:rsid w:val="009829DF"/>
    <w:rsid w:val="009833BF"/>
    <w:rsid w:val="00983DBE"/>
    <w:rsid w:val="009845DB"/>
    <w:rsid w:val="00984936"/>
    <w:rsid w:val="0098501A"/>
    <w:rsid w:val="009855F4"/>
    <w:rsid w:val="009953A7"/>
    <w:rsid w:val="00995742"/>
    <w:rsid w:val="0099618D"/>
    <w:rsid w:val="009A08C0"/>
    <w:rsid w:val="009A2D7B"/>
    <w:rsid w:val="009B1A6B"/>
    <w:rsid w:val="009B653D"/>
    <w:rsid w:val="009C1B81"/>
    <w:rsid w:val="009C5D2A"/>
    <w:rsid w:val="009C7CBC"/>
    <w:rsid w:val="009D4317"/>
    <w:rsid w:val="009E45AD"/>
    <w:rsid w:val="009F2E2F"/>
    <w:rsid w:val="009F3625"/>
    <w:rsid w:val="009F423A"/>
    <w:rsid w:val="00A0245B"/>
    <w:rsid w:val="00A077AC"/>
    <w:rsid w:val="00A12160"/>
    <w:rsid w:val="00A12F07"/>
    <w:rsid w:val="00A14DDD"/>
    <w:rsid w:val="00A218A1"/>
    <w:rsid w:val="00A21A83"/>
    <w:rsid w:val="00A25008"/>
    <w:rsid w:val="00A27693"/>
    <w:rsid w:val="00A27987"/>
    <w:rsid w:val="00A331E6"/>
    <w:rsid w:val="00A56EC9"/>
    <w:rsid w:val="00A644C2"/>
    <w:rsid w:val="00A65570"/>
    <w:rsid w:val="00A65D43"/>
    <w:rsid w:val="00A71CA0"/>
    <w:rsid w:val="00A73F59"/>
    <w:rsid w:val="00A806CA"/>
    <w:rsid w:val="00A96C57"/>
    <w:rsid w:val="00AA0C7E"/>
    <w:rsid w:val="00AA0D7F"/>
    <w:rsid w:val="00AA1A1E"/>
    <w:rsid w:val="00AA3AE9"/>
    <w:rsid w:val="00AA498A"/>
    <w:rsid w:val="00AA6027"/>
    <w:rsid w:val="00AC50D9"/>
    <w:rsid w:val="00AC6CBA"/>
    <w:rsid w:val="00AE2106"/>
    <w:rsid w:val="00AE344D"/>
    <w:rsid w:val="00AE648E"/>
    <w:rsid w:val="00AF061D"/>
    <w:rsid w:val="00AF5C20"/>
    <w:rsid w:val="00AF71E9"/>
    <w:rsid w:val="00B0100E"/>
    <w:rsid w:val="00B106C1"/>
    <w:rsid w:val="00B122A3"/>
    <w:rsid w:val="00B17D25"/>
    <w:rsid w:val="00B20788"/>
    <w:rsid w:val="00B21758"/>
    <w:rsid w:val="00B25D26"/>
    <w:rsid w:val="00B3148B"/>
    <w:rsid w:val="00B328D2"/>
    <w:rsid w:val="00B4136B"/>
    <w:rsid w:val="00B462C0"/>
    <w:rsid w:val="00B553BA"/>
    <w:rsid w:val="00B63CD6"/>
    <w:rsid w:val="00B66EF7"/>
    <w:rsid w:val="00B677CF"/>
    <w:rsid w:val="00B70325"/>
    <w:rsid w:val="00B70C9E"/>
    <w:rsid w:val="00B70DA4"/>
    <w:rsid w:val="00B7293A"/>
    <w:rsid w:val="00B75A1C"/>
    <w:rsid w:val="00B807FD"/>
    <w:rsid w:val="00B83B08"/>
    <w:rsid w:val="00B87BA5"/>
    <w:rsid w:val="00B913EF"/>
    <w:rsid w:val="00B926FC"/>
    <w:rsid w:val="00B967AD"/>
    <w:rsid w:val="00BA698B"/>
    <w:rsid w:val="00BB3B21"/>
    <w:rsid w:val="00BB7575"/>
    <w:rsid w:val="00BC3D9B"/>
    <w:rsid w:val="00BC4148"/>
    <w:rsid w:val="00BC5CD1"/>
    <w:rsid w:val="00BC6A89"/>
    <w:rsid w:val="00BD2747"/>
    <w:rsid w:val="00BD7343"/>
    <w:rsid w:val="00BE27C8"/>
    <w:rsid w:val="00BE5776"/>
    <w:rsid w:val="00BF46FB"/>
    <w:rsid w:val="00BF4DAA"/>
    <w:rsid w:val="00BF530E"/>
    <w:rsid w:val="00BF76C9"/>
    <w:rsid w:val="00C07931"/>
    <w:rsid w:val="00C1067C"/>
    <w:rsid w:val="00C13BA5"/>
    <w:rsid w:val="00C13D67"/>
    <w:rsid w:val="00C14C8D"/>
    <w:rsid w:val="00C2139B"/>
    <w:rsid w:val="00C3151C"/>
    <w:rsid w:val="00C33753"/>
    <w:rsid w:val="00C33F1C"/>
    <w:rsid w:val="00C35641"/>
    <w:rsid w:val="00C35BF5"/>
    <w:rsid w:val="00C40E95"/>
    <w:rsid w:val="00C45DFC"/>
    <w:rsid w:val="00C54318"/>
    <w:rsid w:val="00C55785"/>
    <w:rsid w:val="00C61919"/>
    <w:rsid w:val="00C641C9"/>
    <w:rsid w:val="00C7408C"/>
    <w:rsid w:val="00C833E3"/>
    <w:rsid w:val="00C84690"/>
    <w:rsid w:val="00C87587"/>
    <w:rsid w:val="00C97417"/>
    <w:rsid w:val="00CA4DC6"/>
    <w:rsid w:val="00CA4E18"/>
    <w:rsid w:val="00CA5224"/>
    <w:rsid w:val="00CA57AD"/>
    <w:rsid w:val="00CA79C8"/>
    <w:rsid w:val="00CA7C28"/>
    <w:rsid w:val="00CB0848"/>
    <w:rsid w:val="00CB7C23"/>
    <w:rsid w:val="00CC033D"/>
    <w:rsid w:val="00CC295E"/>
    <w:rsid w:val="00CC7393"/>
    <w:rsid w:val="00CD2372"/>
    <w:rsid w:val="00CD253F"/>
    <w:rsid w:val="00CD7384"/>
    <w:rsid w:val="00CE3BA4"/>
    <w:rsid w:val="00CE5E91"/>
    <w:rsid w:val="00CF1B18"/>
    <w:rsid w:val="00CF7197"/>
    <w:rsid w:val="00D00BED"/>
    <w:rsid w:val="00D03B10"/>
    <w:rsid w:val="00D07F0F"/>
    <w:rsid w:val="00D10E52"/>
    <w:rsid w:val="00D162B7"/>
    <w:rsid w:val="00D17118"/>
    <w:rsid w:val="00D202D8"/>
    <w:rsid w:val="00D207CA"/>
    <w:rsid w:val="00D222B0"/>
    <w:rsid w:val="00D232CE"/>
    <w:rsid w:val="00D25275"/>
    <w:rsid w:val="00D309E1"/>
    <w:rsid w:val="00D36FEA"/>
    <w:rsid w:val="00D37FD8"/>
    <w:rsid w:val="00D551DE"/>
    <w:rsid w:val="00D55E8A"/>
    <w:rsid w:val="00D626C1"/>
    <w:rsid w:val="00D6348B"/>
    <w:rsid w:val="00D64F71"/>
    <w:rsid w:val="00D6699D"/>
    <w:rsid w:val="00D70863"/>
    <w:rsid w:val="00D7758F"/>
    <w:rsid w:val="00D814EE"/>
    <w:rsid w:val="00D82F3E"/>
    <w:rsid w:val="00D91BA7"/>
    <w:rsid w:val="00D92BF6"/>
    <w:rsid w:val="00D93786"/>
    <w:rsid w:val="00D97D9D"/>
    <w:rsid w:val="00DA165B"/>
    <w:rsid w:val="00DB2AAB"/>
    <w:rsid w:val="00DB2AE6"/>
    <w:rsid w:val="00DC1522"/>
    <w:rsid w:val="00DC3D7C"/>
    <w:rsid w:val="00DC4367"/>
    <w:rsid w:val="00DE128F"/>
    <w:rsid w:val="00DE6587"/>
    <w:rsid w:val="00DF624C"/>
    <w:rsid w:val="00E10912"/>
    <w:rsid w:val="00E14C8C"/>
    <w:rsid w:val="00E21DF5"/>
    <w:rsid w:val="00E24AF3"/>
    <w:rsid w:val="00E2579E"/>
    <w:rsid w:val="00E26758"/>
    <w:rsid w:val="00E32F76"/>
    <w:rsid w:val="00E36E99"/>
    <w:rsid w:val="00E462D9"/>
    <w:rsid w:val="00E47002"/>
    <w:rsid w:val="00E5405A"/>
    <w:rsid w:val="00E60E9F"/>
    <w:rsid w:val="00E63375"/>
    <w:rsid w:val="00E646BB"/>
    <w:rsid w:val="00E65FF0"/>
    <w:rsid w:val="00E66421"/>
    <w:rsid w:val="00E77FF4"/>
    <w:rsid w:val="00E809DA"/>
    <w:rsid w:val="00E80B22"/>
    <w:rsid w:val="00E85555"/>
    <w:rsid w:val="00E90046"/>
    <w:rsid w:val="00E90F34"/>
    <w:rsid w:val="00EA177D"/>
    <w:rsid w:val="00EB1932"/>
    <w:rsid w:val="00EC138E"/>
    <w:rsid w:val="00EC1CCC"/>
    <w:rsid w:val="00EC22F6"/>
    <w:rsid w:val="00EC75E7"/>
    <w:rsid w:val="00ED4271"/>
    <w:rsid w:val="00EE19C4"/>
    <w:rsid w:val="00EE1B3C"/>
    <w:rsid w:val="00EE3071"/>
    <w:rsid w:val="00EE6AFE"/>
    <w:rsid w:val="00EF2327"/>
    <w:rsid w:val="00EF2A6B"/>
    <w:rsid w:val="00EF5BC9"/>
    <w:rsid w:val="00F10569"/>
    <w:rsid w:val="00F10F98"/>
    <w:rsid w:val="00F11954"/>
    <w:rsid w:val="00F12122"/>
    <w:rsid w:val="00F13C74"/>
    <w:rsid w:val="00F17FF7"/>
    <w:rsid w:val="00F23FDA"/>
    <w:rsid w:val="00F26633"/>
    <w:rsid w:val="00F26DA4"/>
    <w:rsid w:val="00F277EF"/>
    <w:rsid w:val="00F308EA"/>
    <w:rsid w:val="00F416BB"/>
    <w:rsid w:val="00F446FD"/>
    <w:rsid w:val="00F44FDB"/>
    <w:rsid w:val="00F46789"/>
    <w:rsid w:val="00F5081C"/>
    <w:rsid w:val="00F53F53"/>
    <w:rsid w:val="00F543D7"/>
    <w:rsid w:val="00F5443E"/>
    <w:rsid w:val="00F722AE"/>
    <w:rsid w:val="00F773BE"/>
    <w:rsid w:val="00F82678"/>
    <w:rsid w:val="00F925F9"/>
    <w:rsid w:val="00F94159"/>
    <w:rsid w:val="00F95F68"/>
    <w:rsid w:val="00F97F12"/>
    <w:rsid w:val="00FA1BF5"/>
    <w:rsid w:val="00FA5EBE"/>
    <w:rsid w:val="00FC130D"/>
    <w:rsid w:val="00FC51FC"/>
    <w:rsid w:val="00FD1B33"/>
    <w:rsid w:val="00FD2C07"/>
    <w:rsid w:val="00FE3B7B"/>
    <w:rsid w:val="00FE579D"/>
    <w:rsid w:val="00FF0A33"/>
    <w:rsid w:val="00FF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4AB7"/>
  </w:style>
  <w:style w:type="paragraph" w:styleId="a5">
    <w:name w:val="footer"/>
    <w:basedOn w:val="a"/>
    <w:link w:val="a6"/>
    <w:uiPriority w:val="99"/>
    <w:unhideWhenUsed/>
    <w:rsid w:val="00154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4AB7"/>
  </w:style>
  <w:style w:type="paragraph" w:styleId="a7">
    <w:name w:val="List Paragraph"/>
    <w:basedOn w:val="a"/>
    <w:uiPriority w:val="34"/>
    <w:qFormat/>
    <w:rsid w:val="00154AB7"/>
    <w:pPr>
      <w:ind w:left="720"/>
      <w:contextualSpacing/>
    </w:pPr>
  </w:style>
  <w:style w:type="paragraph" w:customStyle="1" w:styleId="Default">
    <w:name w:val="Default"/>
    <w:rsid w:val="00C84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 Indent"/>
    <w:aliases w:val="Основной текст 1,Нумерованный список !!,Надин стиль"/>
    <w:basedOn w:val="a"/>
    <w:link w:val="a9"/>
    <w:rsid w:val="00514D9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0"/>
    <w:link w:val="a8"/>
    <w:rsid w:val="00514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97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D17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C5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C5D2A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D20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D202D8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7E0E90"/>
    <w:rPr>
      <w:color w:val="800080"/>
      <w:u w:val="single"/>
    </w:rPr>
  </w:style>
  <w:style w:type="paragraph" w:customStyle="1" w:styleId="xl65">
    <w:name w:val="xl65"/>
    <w:basedOn w:val="a"/>
    <w:rsid w:val="007E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7E0E9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E0E9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E0E90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E0E9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E0E9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E0E9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7E0E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7E0E9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7E0E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E0E90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7E0E9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114">
    <w:name w:val="xl114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7E0E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7E0E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7E0E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7E0E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7E0E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E0E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34A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F5F0E-661C-43CD-9B0E-E694B27A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18729</Words>
  <Characters>106759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Никулина</dc:creator>
  <cp:lastModifiedBy>marele</cp:lastModifiedBy>
  <cp:revision>2</cp:revision>
  <cp:lastPrinted>2021-11-12T04:11:00Z</cp:lastPrinted>
  <dcterms:created xsi:type="dcterms:W3CDTF">2021-11-16T03:34:00Z</dcterms:created>
  <dcterms:modified xsi:type="dcterms:W3CDTF">2021-11-16T03:34:00Z</dcterms:modified>
</cp:coreProperties>
</file>