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CF6F2B" w:rsidRDefault="00187D03" w:rsidP="00A114C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показателей (индикаторов) муниципаль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рористических актов на терр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характера о  прин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маемых  органами  власти  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     антитеррористического характера и правилах поведения  в случае угрозы возникновения террористического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F04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F04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F04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41554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41554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FF1C8B" w:rsidRPr="00CF6F2B" w:rsidRDefault="00233F40" w:rsidP="00AF78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B635E8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B635E8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B635E8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B635E8" w:rsidTr="00991057">
        <w:trPr>
          <w:tblHeader/>
        </w:trPr>
        <w:tc>
          <w:tcPr>
            <w:tcW w:w="56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991057">
        <w:tc>
          <w:tcPr>
            <w:tcW w:w="13749" w:type="dxa"/>
            <w:gridSpan w:val="9"/>
          </w:tcPr>
          <w:p w:rsidR="00FF1C8B" w:rsidRPr="00B635E8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23C5" w:rsidRPr="00B635E8" w:rsidTr="00991057">
        <w:tc>
          <w:tcPr>
            <w:tcW w:w="567" w:type="dxa"/>
          </w:tcPr>
          <w:p w:rsidR="000223C5" w:rsidRPr="00B635E8" w:rsidRDefault="000223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23C5" w:rsidRPr="00B635E8" w:rsidRDefault="000223C5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водимых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профилактики терроризма в Челябинской области на 2014-2016 годы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Челябинской области</w:t>
            </w:r>
          </w:p>
        </w:tc>
        <w:tc>
          <w:tcPr>
            <w:tcW w:w="1559" w:type="dxa"/>
          </w:tcPr>
          <w:p w:rsidR="000223C5" w:rsidRPr="00B635E8" w:rsidRDefault="000223C5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0223C5" w:rsidRDefault="00B85AE1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15185" w:rsidRDefault="00B85AE1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15185" w:rsidRDefault="00B85AE1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23C5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15185" w:rsidRDefault="00B85AE1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ях, провод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559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роприятиях, проводимых в рамках реал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277" w:type="dxa"/>
          </w:tcPr>
          <w:p w:rsidR="000223C5" w:rsidRPr="00B635E8" w:rsidRDefault="0029521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касающейся, решений АТК Челябинской области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сающейся, решений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щейся, реш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обла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7" w:type="dxa"/>
          </w:tcPr>
          <w:p w:rsidR="007A12D3" w:rsidRDefault="007A12D3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представление перечня статистических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 по информационному противодействию 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деятельности  в аппарат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комиссии Челябинской области.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пере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ня статист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 и 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парат антите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рористической комиссии 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7" w:type="dxa"/>
          </w:tcPr>
          <w:p w:rsidR="007A12D3" w:rsidRDefault="007A12D3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Дальнейшая отработка мех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низма межведомственного взаимодействия при осущес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влении ситуационного реаг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рования на возникающие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рористические угрозы и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явления, принятие скоорд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нированных мер по их лок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механизма межведомс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венного взаимодейс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59" w:type="dxa"/>
          </w:tcPr>
          <w:p w:rsidR="007A12D3" w:rsidRPr="00B635E8" w:rsidRDefault="007A12D3" w:rsidP="006F0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ханизма 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тактико-специальной тренировке </w:t>
            </w:r>
          </w:p>
        </w:tc>
        <w:tc>
          <w:tcPr>
            <w:tcW w:w="1277" w:type="dxa"/>
          </w:tcPr>
          <w:p w:rsidR="007A12D3" w:rsidRDefault="007A12D3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сотру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никами дошкольных образов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учреждений по нео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ходимым действиям при во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никновении террористической угрозы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6942E6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трудниками дошкольных образовател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учрежд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7A12D3" w:rsidRPr="006942E6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занятия</w:t>
            </w:r>
          </w:p>
          <w:p w:rsidR="007A12D3" w:rsidRPr="006942E6" w:rsidRDefault="00890C3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(33 ОО, 100</w:t>
            </w:r>
            <w:r w:rsidR="007A12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человек</w:t>
            </w:r>
            <w:r w:rsidR="007A12D3"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7A12D3" w:rsidRDefault="007A12D3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мероприятий и клас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ных часов, приуроченных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ведениях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роприятий и классных часов</w:t>
            </w:r>
          </w:p>
        </w:tc>
        <w:tc>
          <w:tcPr>
            <w:tcW w:w="1559" w:type="dxa"/>
          </w:tcPr>
          <w:p w:rsidR="007A12D3" w:rsidRDefault="007A12D3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  <w:p w:rsidR="007A12D3" w:rsidRPr="00B635E8" w:rsidRDefault="00890C39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(19 ОО, 3520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ловек)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7A12D3" w:rsidRPr="000B68DA" w:rsidRDefault="007A12D3" w:rsidP="000B68DA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 в день солидарности в 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Разработка, изготовление, распростран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ние наглядно-агитационных материалов (баннеров, букл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тов, стендов, листовок, кале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дарей).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lastRenderedPageBreak/>
              <w:t>дение конкурсов, профила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тических, интеллектуальных и спортивных мероприятий (приобретение сувенирной продукции, наградного мат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902A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</w:t>
            </w:r>
          </w:p>
        </w:tc>
        <w:tc>
          <w:tcPr>
            <w:tcW w:w="1559" w:type="dxa"/>
          </w:tcPr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риобретение наглядного материала 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ческой напра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>ленности (67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свечей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00 шт.);</w:t>
            </w:r>
          </w:p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гелиевых ш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ров (30 шт.);</w:t>
            </w:r>
          </w:p>
          <w:p w:rsidR="007A12D3" w:rsidRPr="00D5038E" w:rsidRDefault="004C726A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грамот (70</w:t>
            </w:r>
            <w:r w:rsidR="007A12D3"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A12D3" w:rsidRPr="00B635E8" w:rsidRDefault="007A12D3" w:rsidP="00D5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эскиза грамоты  (3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учреждениях культуры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светительской направленн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по профилактике терр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7A12D3" w:rsidRPr="00B635E8" w:rsidRDefault="007A12D3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7A12D3" w:rsidRPr="00B635E8" w:rsidRDefault="007A12D3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 культуры</w:t>
            </w:r>
          </w:p>
        </w:tc>
        <w:tc>
          <w:tcPr>
            <w:tcW w:w="1559" w:type="dxa"/>
          </w:tcPr>
          <w:p w:rsidR="007A12D3" w:rsidRPr="00B635E8" w:rsidRDefault="00890C3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 (300 человек)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навыков и умений персонала областных госуда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учреждений здрав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охранения при возникновении чрезвычайных ситуаций, св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занных с проявлениями терр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ГБУЗ «Райо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 г.Сатка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МБУЗ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«ССМПСР»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занятий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нальных н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выков и ум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 персонала</w:t>
            </w:r>
          </w:p>
        </w:tc>
        <w:tc>
          <w:tcPr>
            <w:tcW w:w="1559" w:type="dxa"/>
          </w:tcPr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медрабо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учащимися и студентами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занятий и бесед по профила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тике терроризма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0F">
              <w:rPr>
                <w:rFonts w:ascii="Times New Roman" w:hAnsi="Times New Roman"/>
                <w:sz w:val="20"/>
                <w:szCs w:val="20"/>
              </w:rPr>
              <w:t>Организация презентаций</w:t>
            </w:r>
          </w:p>
          <w:p w:rsidR="007A12D3" w:rsidRPr="003E460F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презентации в школах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</w:p>
          <w:p w:rsidR="007A12D3" w:rsidRPr="00B635E8" w:rsidRDefault="00890C3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7A12D3">
              <w:rPr>
                <w:rFonts w:ascii="Times New Roman" w:hAnsi="Times New Roman" w:cs="Times New Roman"/>
                <w:sz w:val="20"/>
                <w:szCs w:val="20"/>
              </w:rPr>
              <w:t>00 человек)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защищенности учрежд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и организаций, подведо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местного самоуправления Саткинского муниципального района 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FB4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 паспортов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реждений.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организациях и 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реждениях Саткинского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559" w:type="dxa"/>
          </w:tcPr>
          <w:p w:rsidR="007A12D3" w:rsidRPr="00B635E8" w:rsidRDefault="007A12D3" w:rsidP="00B635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пускного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нала действиям при угрозе и совершении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1E17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</w:p>
        </w:tc>
        <w:tc>
          <w:tcPr>
            <w:tcW w:w="1559" w:type="dxa"/>
          </w:tcPr>
          <w:p w:rsidR="007A12D3" w:rsidRPr="00B635E8" w:rsidRDefault="004C726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работников 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предприятий, и 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практических занятий по действиям в 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вычайных ситуациях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ских занятий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работн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предпр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хранения эксплуатацио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документации, в целях предотвращения несанкци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нированного доступа в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пьютерные базы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Проверено 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эксплу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тационной 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 объектов хозяйстве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но-питьевого водоснабжения  (наружные сети и сооруж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ния) в соответствие с треб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ваниями пунктов 1.2, 10.8-10.39, 14.4-14.5 строительных норм и правил (СНиП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. 04. 02-84*) утвержденных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новлением Госстроя СССР от 30.04.1986г. № 52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зяйственно-питьевого водоснабж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,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ектов хозяйс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венно-питьевого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 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защищенности 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 и сооружений транспор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инфраструктуры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объектов и сооружений транспортной инфрастру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щенность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оружений транспортной инфраструкт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Осуществление регулярного досмотра вокзальных компле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 и транспортных средств, предназначенных для пасс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жирских перевозок как при выходе на линию, так и на 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ловых остановках по маршруту движения.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регуля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досмотра вокзальных комплексов и транспортных средств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Осуществлены регулярные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мотры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кзальных ко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плексов и транспортных средств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инструктажей водителей и контролеров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вижного состава о действиях при выявлении признаков угроз террористического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 инстру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тажей 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телей и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живающего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подвижного состава</w:t>
            </w:r>
          </w:p>
        </w:tc>
        <w:tc>
          <w:tcPr>
            <w:tcW w:w="1559" w:type="dxa"/>
          </w:tcPr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инструктажа</w:t>
            </w:r>
          </w:p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водителей, 2 контролера)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и тематических стендов по профилактике терроризма в учреждениях культуры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агитации и тематических стендов по 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ке террори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 в учре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кул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Размещено на 29 стендах в учреждениях культуры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пребывания граждан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вения угроз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характера, а 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же размещение соответс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вующей информа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сте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дах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сового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90C39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круглых столов,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наров, с привлечением должностных лиц и спе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циалистов по мерам предупредительного характ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 при угрозах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 направленности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роведение круглых 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="004C72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ботников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низаций, пре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приятий, и у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реждений)</w:t>
            </w:r>
          </w:p>
        </w:tc>
        <w:tc>
          <w:tcPr>
            <w:tcW w:w="1277" w:type="dxa"/>
          </w:tcPr>
          <w:p w:rsidR="007A12D3" w:rsidRDefault="007A12D3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 «Безопасный дом, подъезд, квартира», «Незаконный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грант»  с учетом возможного выявления лиц, причастных к диверсионно-террористическим группам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00E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1A00E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85A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7" w:type="dxa"/>
          </w:tcPr>
          <w:p w:rsidR="007A12D3" w:rsidRDefault="007A12D3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5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антитеррористических трен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ровок по  отработке действий  в   случае возникновения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на  объектах с массовым преб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ванием людей                     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стических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тренировок</w:t>
            </w:r>
          </w:p>
        </w:tc>
        <w:tc>
          <w:tcPr>
            <w:tcW w:w="1559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7" w:type="dxa"/>
          </w:tcPr>
          <w:p w:rsidR="00B85AE1" w:rsidRDefault="00B85AE1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B85AE1" w:rsidRPr="00B635E8" w:rsidRDefault="00B85AE1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 по обеспечению правоп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рядка и общественной без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пасности в период проведения массовых праздничных мер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приятий. Проведение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дования обеспечения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скного режима, технич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 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 </w:t>
            </w:r>
          </w:p>
          <w:p w:rsidR="00B85AE1" w:rsidRPr="00B635E8" w:rsidRDefault="00B85AE1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сигнализацией и видеонабл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дением мест их проведения.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 мер по обеспечению правопорядка и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559" w:type="dxa"/>
          </w:tcPr>
          <w:p w:rsidR="00B85AE1" w:rsidRPr="00B635E8" w:rsidRDefault="00890C3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22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 меропри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тиях задейс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вовано 300 сотрудн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B85AE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77" w:type="dxa"/>
          </w:tcPr>
          <w:p w:rsidR="00B85AE1" w:rsidRDefault="00B85AE1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5" w:type="dxa"/>
          </w:tcPr>
          <w:p w:rsidR="00B85AE1" w:rsidRPr="00B635E8" w:rsidRDefault="00B85AE1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оперативной обстановки на территории района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</w:t>
            </w:r>
          </w:p>
        </w:tc>
        <w:tc>
          <w:tcPr>
            <w:tcW w:w="1559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</w:t>
            </w:r>
          </w:p>
        </w:tc>
        <w:tc>
          <w:tcPr>
            <w:tcW w:w="1277" w:type="dxa"/>
          </w:tcPr>
          <w:p w:rsidR="00B85AE1" w:rsidRDefault="00B85AE1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</w:tcPr>
          <w:p w:rsidR="00B85AE1" w:rsidRPr="00B635E8" w:rsidRDefault="00B85AE1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щихся не по назначению строений и помещений на территории лечебных, озд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учреждений, баз отдыха, интернатов, объекты долгостроя, иных строений и помещений с целью предо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вращения и пресечения их использования для хранения огнестрельного оружия, бо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припасов, взрывчатых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ществ, взрывных устройств и сильнодействующих отра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ляющих веществ.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му району 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или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пользующи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ся не по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значению строений и помещений</w:t>
            </w:r>
          </w:p>
        </w:tc>
        <w:tc>
          <w:tcPr>
            <w:tcW w:w="1559" w:type="dxa"/>
          </w:tcPr>
          <w:p w:rsidR="00B85AE1" w:rsidRPr="00B635E8" w:rsidRDefault="00890C3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B85AE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B85AE1"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неи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85AE1" w:rsidRPr="00B635E8">
              <w:rPr>
                <w:rFonts w:ascii="Times New Roman" w:hAnsi="Times New Roman" w:cs="Times New Roman"/>
                <w:sz w:val="20"/>
                <w:szCs w:val="20"/>
              </w:rPr>
              <w:t>зующихся не по назначению строений и помещений</w:t>
            </w:r>
          </w:p>
        </w:tc>
        <w:tc>
          <w:tcPr>
            <w:tcW w:w="1277" w:type="dxa"/>
          </w:tcPr>
          <w:p w:rsidR="00B85AE1" w:rsidRDefault="00B85AE1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5" w:type="dxa"/>
          </w:tcPr>
          <w:p w:rsidR="00B85AE1" w:rsidRPr="00B635E8" w:rsidRDefault="00B85AE1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по вопросам повышения бд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правилам повед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при обнаружении подо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рительных предметов на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мун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ципального района.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тельной 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</w:tcPr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проводилась в СМИ Сатки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B85AE1" w:rsidRDefault="00B85AE1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85AE1" w:rsidRPr="00B635E8" w:rsidTr="00737563">
        <w:tc>
          <w:tcPr>
            <w:tcW w:w="567" w:type="dxa"/>
          </w:tcPr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</w:t>
            </w: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85AE1" w:rsidRPr="00B635E8" w:rsidRDefault="00B85AE1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Регулярное уточнение в целях определения готовности к ликвидации или минимизации последствий возможного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рористического акта:</w:t>
            </w:r>
          </w:p>
          <w:p w:rsidR="00B85AE1" w:rsidRPr="00B635E8" w:rsidRDefault="00B85AE1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списков оповещения рук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водящего состава и членов оперативной группы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она;</w:t>
            </w:r>
          </w:p>
          <w:p w:rsidR="00B85AE1" w:rsidRPr="00B635E8" w:rsidRDefault="00B85AE1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лана эвакуации населения в чрезвычайных ситуациях природного и техногенного характера с учетом перечня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для размещения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страдавших и эвакуирова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ных;</w:t>
            </w:r>
          </w:p>
          <w:p w:rsidR="00B85AE1" w:rsidRPr="00B635E8" w:rsidRDefault="00B85AE1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расчета сил и средств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янной готовности, привлека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к мероприятиям по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нимизации и ликвидации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чрезвычайной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туации, в т.ч.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акта</w:t>
            </w:r>
          </w:p>
        </w:tc>
        <w:tc>
          <w:tcPr>
            <w:tcW w:w="1559" w:type="dxa"/>
          </w:tcPr>
          <w:p w:rsidR="00B85AE1" w:rsidRPr="00B635E8" w:rsidRDefault="00B85AE1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нию),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защиты»</w:t>
            </w:r>
          </w:p>
          <w:p w:rsidR="00B85AE1" w:rsidRPr="00B635E8" w:rsidRDefault="00B85AE1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85AE1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B85AE1" w:rsidRPr="00B635E8" w:rsidRDefault="00B85AE1" w:rsidP="00B05F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Регулярное уточнение в целях опр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деления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товности к ликвидации или миним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возможного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559" w:type="dxa"/>
          </w:tcPr>
          <w:p w:rsidR="00B85AE1" w:rsidRPr="00B635E8" w:rsidRDefault="00B85AE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сп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сков оповещ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расч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сил и средств,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лях определ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готовности к ликвидации или минимиз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последс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возможн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277" w:type="dxa"/>
          </w:tcPr>
          <w:p w:rsidR="00B85AE1" w:rsidRDefault="00B85AE1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37563" w:rsidRPr="00B635E8" w:rsidRDefault="008E3DC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403B" w:rsidRDefault="00B85AE1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03B" w:rsidRDefault="00B85AE1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22C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  <w:p w:rsidR="00737563" w:rsidRPr="00B635E8" w:rsidRDefault="00B22C5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29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F00EC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0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B876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0.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FF1C8B" w:rsidRPr="00B635E8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FF1C8B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EB2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87D03" w:rsidRPr="004C5325" w:rsidRDefault="00187D03" w:rsidP="00187D03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терроризма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AF041B">
        <w:rPr>
          <w:rFonts w:ascii="Times New Roman" w:hAnsi="Times New Roman" w:cs="Times New Roman"/>
          <w:color w:val="000000"/>
          <w:sz w:val="20"/>
          <w:szCs w:val="20"/>
        </w:rPr>
        <w:t xml:space="preserve"> за 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EE25C1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23.12.2022 № 985</w:t>
            </w:r>
          </w:p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413E92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  <w:r w:rsidR="00187D03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413E9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сроков реализации программы</w:t>
            </w: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6403" w:rsidRDefault="00996403" w:rsidP="00BF6EFB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Оценка эффективности использования бюджетных средств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692958" w:rsidRPr="00187D03" w:rsidRDefault="00692958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A5FBA" w:rsidRPr="00BB3F27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C531D2" w:rsidRPr="00B635E8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C531D2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9C" w:rsidRDefault="005F7A9C" w:rsidP="00A43904">
      <w:pPr>
        <w:spacing w:after="0" w:line="240" w:lineRule="auto"/>
      </w:pPr>
      <w:r>
        <w:separator/>
      </w:r>
    </w:p>
  </w:endnote>
  <w:endnote w:type="continuationSeparator" w:id="0">
    <w:p w:rsidR="005F7A9C" w:rsidRDefault="005F7A9C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9C" w:rsidRDefault="005F7A9C" w:rsidP="00A43904">
      <w:pPr>
        <w:spacing w:after="0" w:line="240" w:lineRule="auto"/>
      </w:pPr>
      <w:r>
        <w:separator/>
      </w:r>
    </w:p>
  </w:footnote>
  <w:footnote w:type="continuationSeparator" w:id="0">
    <w:p w:rsidR="005F7A9C" w:rsidRDefault="005F7A9C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24097" w:rsidRPr="00DB38E0" w:rsidRDefault="00535FFF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D24097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890C39">
          <w:rPr>
            <w:rFonts w:ascii="Times New Roman" w:hAnsi="Times New Roman" w:cs="Times New Roman"/>
            <w:noProof/>
          </w:rPr>
          <w:t>17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24097" w:rsidRDefault="00D24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24097" w:rsidRDefault="00535FFF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4097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C39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179F"/>
    <w:rsid w:val="0000269E"/>
    <w:rsid w:val="00005640"/>
    <w:rsid w:val="00007D77"/>
    <w:rsid w:val="00020F09"/>
    <w:rsid w:val="000223C5"/>
    <w:rsid w:val="00025C66"/>
    <w:rsid w:val="00030706"/>
    <w:rsid w:val="00035910"/>
    <w:rsid w:val="00052004"/>
    <w:rsid w:val="00052090"/>
    <w:rsid w:val="000719C2"/>
    <w:rsid w:val="00080CD1"/>
    <w:rsid w:val="000A4AEB"/>
    <w:rsid w:val="000A748F"/>
    <w:rsid w:val="000B68DA"/>
    <w:rsid w:val="000C3206"/>
    <w:rsid w:val="000C4633"/>
    <w:rsid w:val="000C5145"/>
    <w:rsid w:val="000D1E87"/>
    <w:rsid w:val="000D58EB"/>
    <w:rsid w:val="000E261A"/>
    <w:rsid w:val="000E3B0C"/>
    <w:rsid w:val="000F4659"/>
    <w:rsid w:val="0010403B"/>
    <w:rsid w:val="00120F75"/>
    <w:rsid w:val="00123AB9"/>
    <w:rsid w:val="00132189"/>
    <w:rsid w:val="001659C0"/>
    <w:rsid w:val="00187D03"/>
    <w:rsid w:val="0019303E"/>
    <w:rsid w:val="001A00E4"/>
    <w:rsid w:val="001C3745"/>
    <w:rsid w:val="001E1778"/>
    <w:rsid w:val="001E2000"/>
    <w:rsid w:val="001E3907"/>
    <w:rsid w:val="00202E35"/>
    <w:rsid w:val="0021055D"/>
    <w:rsid w:val="00211CDF"/>
    <w:rsid w:val="00220198"/>
    <w:rsid w:val="00231127"/>
    <w:rsid w:val="002331A8"/>
    <w:rsid w:val="00233F40"/>
    <w:rsid w:val="002343CF"/>
    <w:rsid w:val="0024160A"/>
    <w:rsid w:val="00260972"/>
    <w:rsid w:val="0027186F"/>
    <w:rsid w:val="002846C0"/>
    <w:rsid w:val="0028649C"/>
    <w:rsid w:val="00295210"/>
    <w:rsid w:val="002A0017"/>
    <w:rsid w:val="002C6099"/>
    <w:rsid w:val="002D1726"/>
    <w:rsid w:val="002D7911"/>
    <w:rsid w:val="002E276C"/>
    <w:rsid w:val="00300E4A"/>
    <w:rsid w:val="003131EE"/>
    <w:rsid w:val="00344AFE"/>
    <w:rsid w:val="003468B5"/>
    <w:rsid w:val="0037257E"/>
    <w:rsid w:val="00375540"/>
    <w:rsid w:val="003A71BD"/>
    <w:rsid w:val="003B6A8B"/>
    <w:rsid w:val="003B76CD"/>
    <w:rsid w:val="003C3B14"/>
    <w:rsid w:val="003D7FD2"/>
    <w:rsid w:val="003E32EB"/>
    <w:rsid w:val="003E460F"/>
    <w:rsid w:val="003E5B0B"/>
    <w:rsid w:val="003F1FBB"/>
    <w:rsid w:val="003F62E8"/>
    <w:rsid w:val="00413E92"/>
    <w:rsid w:val="0041554B"/>
    <w:rsid w:val="00435BAA"/>
    <w:rsid w:val="004436EF"/>
    <w:rsid w:val="00443F10"/>
    <w:rsid w:val="00446435"/>
    <w:rsid w:val="00464FA2"/>
    <w:rsid w:val="0046504E"/>
    <w:rsid w:val="00475A58"/>
    <w:rsid w:val="00481F88"/>
    <w:rsid w:val="00484F42"/>
    <w:rsid w:val="004868E0"/>
    <w:rsid w:val="00490EE0"/>
    <w:rsid w:val="004941D1"/>
    <w:rsid w:val="004A171C"/>
    <w:rsid w:val="004A5FBA"/>
    <w:rsid w:val="004A7EFB"/>
    <w:rsid w:val="004C3A9F"/>
    <w:rsid w:val="004C726A"/>
    <w:rsid w:val="004D11E3"/>
    <w:rsid w:val="004D3BBD"/>
    <w:rsid w:val="004D4017"/>
    <w:rsid w:val="004E6AF1"/>
    <w:rsid w:val="004E772F"/>
    <w:rsid w:val="004F4F2B"/>
    <w:rsid w:val="005021E6"/>
    <w:rsid w:val="00517EEE"/>
    <w:rsid w:val="00523B36"/>
    <w:rsid w:val="00527F26"/>
    <w:rsid w:val="00535FFF"/>
    <w:rsid w:val="00536D55"/>
    <w:rsid w:val="005408CF"/>
    <w:rsid w:val="005468B7"/>
    <w:rsid w:val="0055056D"/>
    <w:rsid w:val="005620C0"/>
    <w:rsid w:val="0056299C"/>
    <w:rsid w:val="005669C8"/>
    <w:rsid w:val="00566F5C"/>
    <w:rsid w:val="00570071"/>
    <w:rsid w:val="00572CFE"/>
    <w:rsid w:val="00572ECC"/>
    <w:rsid w:val="0059076F"/>
    <w:rsid w:val="005A4A36"/>
    <w:rsid w:val="005B4579"/>
    <w:rsid w:val="005D3E68"/>
    <w:rsid w:val="005F1D80"/>
    <w:rsid w:val="005F538F"/>
    <w:rsid w:val="005F7A9C"/>
    <w:rsid w:val="00600F74"/>
    <w:rsid w:val="0061622F"/>
    <w:rsid w:val="00640E2C"/>
    <w:rsid w:val="00641231"/>
    <w:rsid w:val="006559A1"/>
    <w:rsid w:val="00656CEB"/>
    <w:rsid w:val="0067048E"/>
    <w:rsid w:val="0067280A"/>
    <w:rsid w:val="00692958"/>
    <w:rsid w:val="006942E6"/>
    <w:rsid w:val="006B7594"/>
    <w:rsid w:val="006B7758"/>
    <w:rsid w:val="006C18F7"/>
    <w:rsid w:val="006D27BE"/>
    <w:rsid w:val="006D7C6F"/>
    <w:rsid w:val="006E3B3F"/>
    <w:rsid w:val="006F0316"/>
    <w:rsid w:val="006F1A21"/>
    <w:rsid w:val="006F5C3D"/>
    <w:rsid w:val="007072A4"/>
    <w:rsid w:val="007117B8"/>
    <w:rsid w:val="00713BEF"/>
    <w:rsid w:val="00721391"/>
    <w:rsid w:val="0073033D"/>
    <w:rsid w:val="00731258"/>
    <w:rsid w:val="00732BE5"/>
    <w:rsid w:val="00736119"/>
    <w:rsid w:val="00737563"/>
    <w:rsid w:val="00737FB4"/>
    <w:rsid w:val="00743A56"/>
    <w:rsid w:val="0074680F"/>
    <w:rsid w:val="00752992"/>
    <w:rsid w:val="0075796E"/>
    <w:rsid w:val="00757ECB"/>
    <w:rsid w:val="00763914"/>
    <w:rsid w:val="007766CC"/>
    <w:rsid w:val="00777D13"/>
    <w:rsid w:val="007829B6"/>
    <w:rsid w:val="00783395"/>
    <w:rsid w:val="0078775E"/>
    <w:rsid w:val="007955EE"/>
    <w:rsid w:val="007961FA"/>
    <w:rsid w:val="007A12D3"/>
    <w:rsid w:val="007A506D"/>
    <w:rsid w:val="007C4782"/>
    <w:rsid w:val="007C5814"/>
    <w:rsid w:val="007E575E"/>
    <w:rsid w:val="007E6BDB"/>
    <w:rsid w:val="007E7092"/>
    <w:rsid w:val="008245D3"/>
    <w:rsid w:val="00824A55"/>
    <w:rsid w:val="00840DA1"/>
    <w:rsid w:val="00841244"/>
    <w:rsid w:val="00856C8C"/>
    <w:rsid w:val="00864413"/>
    <w:rsid w:val="00865634"/>
    <w:rsid w:val="00871E6C"/>
    <w:rsid w:val="00890B82"/>
    <w:rsid w:val="00890C39"/>
    <w:rsid w:val="0089470A"/>
    <w:rsid w:val="008A6005"/>
    <w:rsid w:val="008C4143"/>
    <w:rsid w:val="008C41EA"/>
    <w:rsid w:val="008D1AF5"/>
    <w:rsid w:val="008E08C6"/>
    <w:rsid w:val="008E0FFF"/>
    <w:rsid w:val="008E3DC3"/>
    <w:rsid w:val="008E6A9A"/>
    <w:rsid w:val="008F03EC"/>
    <w:rsid w:val="00902AF7"/>
    <w:rsid w:val="00915185"/>
    <w:rsid w:val="009240E7"/>
    <w:rsid w:val="00924EDE"/>
    <w:rsid w:val="009308CA"/>
    <w:rsid w:val="0093090B"/>
    <w:rsid w:val="00934AAE"/>
    <w:rsid w:val="00943D19"/>
    <w:rsid w:val="00953E47"/>
    <w:rsid w:val="00956509"/>
    <w:rsid w:val="0095746F"/>
    <w:rsid w:val="00963A86"/>
    <w:rsid w:val="009644CF"/>
    <w:rsid w:val="00975DE6"/>
    <w:rsid w:val="0097615F"/>
    <w:rsid w:val="00985E03"/>
    <w:rsid w:val="00991057"/>
    <w:rsid w:val="00996403"/>
    <w:rsid w:val="009A3CF4"/>
    <w:rsid w:val="009B03F3"/>
    <w:rsid w:val="009B54FE"/>
    <w:rsid w:val="009F4013"/>
    <w:rsid w:val="009F5785"/>
    <w:rsid w:val="00A114C1"/>
    <w:rsid w:val="00A214CE"/>
    <w:rsid w:val="00A25AB6"/>
    <w:rsid w:val="00A34108"/>
    <w:rsid w:val="00A3647C"/>
    <w:rsid w:val="00A4212A"/>
    <w:rsid w:val="00A43904"/>
    <w:rsid w:val="00A45696"/>
    <w:rsid w:val="00A502BA"/>
    <w:rsid w:val="00A518B7"/>
    <w:rsid w:val="00A548EC"/>
    <w:rsid w:val="00A741A8"/>
    <w:rsid w:val="00A804B7"/>
    <w:rsid w:val="00A80EF1"/>
    <w:rsid w:val="00A83318"/>
    <w:rsid w:val="00AC0F91"/>
    <w:rsid w:val="00AC3E1A"/>
    <w:rsid w:val="00AC5C14"/>
    <w:rsid w:val="00AD181E"/>
    <w:rsid w:val="00AD2CAA"/>
    <w:rsid w:val="00AE2BA8"/>
    <w:rsid w:val="00AE4B58"/>
    <w:rsid w:val="00AF041B"/>
    <w:rsid w:val="00AF12C8"/>
    <w:rsid w:val="00AF49E4"/>
    <w:rsid w:val="00AF78DE"/>
    <w:rsid w:val="00B16AFB"/>
    <w:rsid w:val="00B22C53"/>
    <w:rsid w:val="00B30053"/>
    <w:rsid w:val="00B54603"/>
    <w:rsid w:val="00B54904"/>
    <w:rsid w:val="00B55237"/>
    <w:rsid w:val="00B61D2D"/>
    <w:rsid w:val="00B62EA3"/>
    <w:rsid w:val="00B635E8"/>
    <w:rsid w:val="00B66117"/>
    <w:rsid w:val="00B67676"/>
    <w:rsid w:val="00B7196A"/>
    <w:rsid w:val="00B80659"/>
    <w:rsid w:val="00B85AE1"/>
    <w:rsid w:val="00B87672"/>
    <w:rsid w:val="00B95FBD"/>
    <w:rsid w:val="00BA4BE2"/>
    <w:rsid w:val="00BB76BA"/>
    <w:rsid w:val="00BD4FA7"/>
    <w:rsid w:val="00BE02CC"/>
    <w:rsid w:val="00BE7422"/>
    <w:rsid w:val="00BF5234"/>
    <w:rsid w:val="00BF6EFB"/>
    <w:rsid w:val="00C039B4"/>
    <w:rsid w:val="00C11404"/>
    <w:rsid w:val="00C14A0D"/>
    <w:rsid w:val="00C16CCB"/>
    <w:rsid w:val="00C20392"/>
    <w:rsid w:val="00C25C86"/>
    <w:rsid w:val="00C33D8D"/>
    <w:rsid w:val="00C352F5"/>
    <w:rsid w:val="00C35315"/>
    <w:rsid w:val="00C364DA"/>
    <w:rsid w:val="00C45586"/>
    <w:rsid w:val="00C531D2"/>
    <w:rsid w:val="00C8027A"/>
    <w:rsid w:val="00C82ADC"/>
    <w:rsid w:val="00C84479"/>
    <w:rsid w:val="00C85B7D"/>
    <w:rsid w:val="00C97DAA"/>
    <w:rsid w:val="00CB101D"/>
    <w:rsid w:val="00CB4BFF"/>
    <w:rsid w:val="00CB7E0C"/>
    <w:rsid w:val="00CC1CF4"/>
    <w:rsid w:val="00CC2777"/>
    <w:rsid w:val="00CC34B1"/>
    <w:rsid w:val="00CD2840"/>
    <w:rsid w:val="00CE0868"/>
    <w:rsid w:val="00CF6F2B"/>
    <w:rsid w:val="00D02707"/>
    <w:rsid w:val="00D12C22"/>
    <w:rsid w:val="00D167AE"/>
    <w:rsid w:val="00D24097"/>
    <w:rsid w:val="00D26E87"/>
    <w:rsid w:val="00D379B1"/>
    <w:rsid w:val="00D5038E"/>
    <w:rsid w:val="00D519F2"/>
    <w:rsid w:val="00D5447D"/>
    <w:rsid w:val="00D577F1"/>
    <w:rsid w:val="00D63451"/>
    <w:rsid w:val="00D63C67"/>
    <w:rsid w:val="00D66D73"/>
    <w:rsid w:val="00D73644"/>
    <w:rsid w:val="00D73866"/>
    <w:rsid w:val="00D77D7A"/>
    <w:rsid w:val="00D865D1"/>
    <w:rsid w:val="00DA35A4"/>
    <w:rsid w:val="00DA65C0"/>
    <w:rsid w:val="00DB38E0"/>
    <w:rsid w:val="00DC392D"/>
    <w:rsid w:val="00DC51AC"/>
    <w:rsid w:val="00DD1668"/>
    <w:rsid w:val="00DD209A"/>
    <w:rsid w:val="00DE4E96"/>
    <w:rsid w:val="00E033F4"/>
    <w:rsid w:val="00E21B9C"/>
    <w:rsid w:val="00E23497"/>
    <w:rsid w:val="00E26D9B"/>
    <w:rsid w:val="00E353AD"/>
    <w:rsid w:val="00E41854"/>
    <w:rsid w:val="00E4280C"/>
    <w:rsid w:val="00E52A88"/>
    <w:rsid w:val="00E556FD"/>
    <w:rsid w:val="00E66715"/>
    <w:rsid w:val="00E73EA8"/>
    <w:rsid w:val="00EA22ED"/>
    <w:rsid w:val="00EA2AFD"/>
    <w:rsid w:val="00EB16B8"/>
    <w:rsid w:val="00EB2362"/>
    <w:rsid w:val="00EC06EC"/>
    <w:rsid w:val="00EC457F"/>
    <w:rsid w:val="00EC4591"/>
    <w:rsid w:val="00EC7005"/>
    <w:rsid w:val="00ED44E9"/>
    <w:rsid w:val="00EE25C1"/>
    <w:rsid w:val="00EF12E1"/>
    <w:rsid w:val="00F00EC7"/>
    <w:rsid w:val="00F114A6"/>
    <w:rsid w:val="00F30704"/>
    <w:rsid w:val="00F326DF"/>
    <w:rsid w:val="00F34995"/>
    <w:rsid w:val="00F460DB"/>
    <w:rsid w:val="00F506E3"/>
    <w:rsid w:val="00F6410C"/>
    <w:rsid w:val="00F7375D"/>
    <w:rsid w:val="00F75F26"/>
    <w:rsid w:val="00F76494"/>
    <w:rsid w:val="00F903C6"/>
    <w:rsid w:val="00FA6740"/>
    <w:rsid w:val="00FB08D9"/>
    <w:rsid w:val="00FB4026"/>
    <w:rsid w:val="00FD503E"/>
    <w:rsid w:val="00FE1BF4"/>
    <w:rsid w:val="00FE3EF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4">
    <w:name w:val="Placeholder Text"/>
    <w:basedOn w:val="a0"/>
    <w:uiPriority w:val="99"/>
    <w:semiHidden/>
    <w:rsid w:val="004A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4D4-55BD-46C5-A47B-F6D6CC5F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22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149</cp:revision>
  <cp:lastPrinted>2019-02-20T04:55:00Z</cp:lastPrinted>
  <dcterms:created xsi:type="dcterms:W3CDTF">2015-05-28T05:16:00Z</dcterms:created>
  <dcterms:modified xsi:type="dcterms:W3CDTF">2023-02-20T05:56:00Z</dcterms:modified>
</cp:coreProperties>
</file>