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A" w:rsidRDefault="00D83A0A" w:rsidP="00D83A0A">
      <w:pPr>
        <w:pStyle w:val="ab"/>
        <w:spacing w:after="0"/>
        <w:jc w:val="center"/>
        <w:rPr>
          <w:rFonts w:ascii="PF Din Text Cond Pro Light" w:hAnsi="PF Din Text Cond Pro Light"/>
          <w:b/>
          <w:sz w:val="44"/>
          <w:szCs w:val="44"/>
        </w:rPr>
      </w:pPr>
      <w:r w:rsidRPr="004E681E">
        <w:rPr>
          <w:rFonts w:ascii="PF Din Text Cond Pro Light" w:hAnsi="PF Din Text Cond Pro Light"/>
          <w:b/>
          <w:sz w:val="44"/>
          <w:szCs w:val="44"/>
        </w:rPr>
        <w:t>Уважаемые налогоплательщики!</w:t>
      </w:r>
    </w:p>
    <w:p w:rsidR="00D83A0A" w:rsidRPr="004E681E" w:rsidRDefault="00D83A0A" w:rsidP="00D83A0A">
      <w:pPr>
        <w:pStyle w:val="ab"/>
        <w:spacing w:after="0"/>
        <w:jc w:val="center"/>
        <w:rPr>
          <w:rFonts w:ascii="PF Din Text Cond Pro Light" w:hAnsi="PF Din Text Cond Pro Light"/>
          <w:b/>
          <w:sz w:val="44"/>
          <w:szCs w:val="44"/>
        </w:rPr>
      </w:pPr>
    </w:p>
    <w:p w:rsidR="00056824" w:rsidRPr="006C092A" w:rsidRDefault="00D83A0A" w:rsidP="00056824">
      <w:pPr>
        <w:autoSpaceDE w:val="0"/>
        <w:autoSpaceDN w:val="0"/>
        <w:adjustRightInd w:val="0"/>
        <w:ind w:firstLine="708"/>
        <w:rPr>
          <w:rFonts w:ascii="PF Din Text Comp Pro Light" w:hAnsi="PF Din Text Comp Pro Light"/>
          <w:sz w:val="40"/>
          <w:szCs w:val="40"/>
        </w:rPr>
      </w:pPr>
      <w:r w:rsidRPr="00056824">
        <w:rPr>
          <w:rFonts w:ascii="PF Din Text Cond Pro Light" w:hAnsi="PF Din Text Cond Pro Light"/>
          <w:sz w:val="40"/>
          <w:szCs w:val="40"/>
        </w:rPr>
        <w:t>Межрайонная ИФНС России № 18 по Челябинской области сообщает:</w:t>
      </w:r>
      <w:r w:rsidR="00056824">
        <w:rPr>
          <w:rFonts w:ascii="PF Din Text Cond Pro Light" w:hAnsi="PF Din Text Cond Pro Light"/>
          <w:sz w:val="40"/>
          <w:szCs w:val="40"/>
        </w:rPr>
        <w:t xml:space="preserve"> </w:t>
      </w:r>
      <w:r w:rsidR="00056824" w:rsidRPr="006C092A">
        <w:rPr>
          <w:rFonts w:ascii="PF Din Text Comp Pro Light" w:hAnsi="PF Din Text Comp Pro Light"/>
          <w:sz w:val="40"/>
          <w:szCs w:val="40"/>
        </w:rPr>
        <w:t>Федеральным законом от 29.12.2015 № 391-ФЗ расширены полномочия налоговых органов по привлечению к ответственности за совершение противоправных действий в сфере банкротства.</w:t>
      </w:r>
    </w:p>
    <w:p w:rsidR="00056824" w:rsidRPr="006C092A" w:rsidRDefault="00056824" w:rsidP="00056824">
      <w:pPr>
        <w:widowControl w:val="0"/>
        <w:rPr>
          <w:rFonts w:ascii="PF Din Text Comp Pro Light" w:hAnsi="PF Din Text Comp Pro Light"/>
          <w:b/>
          <w:sz w:val="40"/>
          <w:szCs w:val="40"/>
        </w:rPr>
      </w:pPr>
      <w:r w:rsidRPr="006C092A">
        <w:rPr>
          <w:rFonts w:ascii="PF Din Text Comp Pro Light" w:hAnsi="PF Din Text Comp Pro Light"/>
          <w:b/>
          <w:sz w:val="40"/>
          <w:szCs w:val="40"/>
        </w:rPr>
        <w:t xml:space="preserve"> С 29.12.2015 года налоговый орган вправе:</w:t>
      </w:r>
    </w:p>
    <w:p w:rsidR="00056824" w:rsidRPr="006C092A" w:rsidRDefault="00056824" w:rsidP="00056824">
      <w:pPr>
        <w:widowControl w:val="0"/>
        <w:rPr>
          <w:rFonts w:ascii="PF Din Text Comp Pro Light" w:hAnsi="PF Din Text Comp Pro Light"/>
          <w:sz w:val="40"/>
          <w:szCs w:val="40"/>
        </w:rPr>
      </w:pPr>
      <w:r w:rsidRPr="006C092A">
        <w:rPr>
          <w:rFonts w:ascii="PF Din Text Comp Pro Light" w:hAnsi="PF Din Text Comp Pro Light"/>
          <w:sz w:val="40"/>
          <w:szCs w:val="40"/>
        </w:rPr>
        <w:t>- самостоятельно привлечь налогоплательщика, не подавшего заявление о б</w:t>
      </w:r>
      <w:bookmarkStart w:id="0" w:name="_GoBack"/>
      <w:bookmarkEnd w:id="0"/>
      <w:r w:rsidRPr="006C092A">
        <w:rPr>
          <w:rFonts w:ascii="PF Din Text Comp Pro Light" w:hAnsi="PF Din Text Comp Pro Light"/>
          <w:sz w:val="40"/>
          <w:szCs w:val="40"/>
        </w:rPr>
        <w:t>анкротстве (при наличии обстоятельств),                               к административной ответственности в виде штрафа от 5 до 10 тысяч рублей. Дисквалификация, если правонарушение совершено впервые с начала года, не применяется. За повторное нарушение арбитражный суд при обращении налогового органа может наложить административный штраф в размере от 3 до 5 тысяч рублей, а должностных лиц дисквалифицировать на срок                           от 6 месяцев до 3 лет.</w:t>
      </w:r>
    </w:p>
    <w:p w:rsidR="00056824" w:rsidRPr="006C092A" w:rsidRDefault="00056824" w:rsidP="00056824">
      <w:pPr>
        <w:widowControl w:val="0"/>
        <w:rPr>
          <w:rFonts w:ascii="PF Din Text Comp Pro Light" w:hAnsi="PF Din Text Comp Pro Light"/>
          <w:sz w:val="40"/>
          <w:szCs w:val="40"/>
        </w:rPr>
      </w:pPr>
      <w:r w:rsidRPr="006C092A">
        <w:rPr>
          <w:rFonts w:ascii="PF Din Text Comp Pro Light" w:hAnsi="PF Din Text Comp Pro Light"/>
          <w:sz w:val="40"/>
          <w:szCs w:val="40"/>
        </w:rPr>
        <w:t>- составлять протоколы об административном правонарушении за неисполнение судебного акта, которым контролирующее должника лицо привлечено к субсидиарной ответственности.</w:t>
      </w:r>
    </w:p>
    <w:p w:rsidR="00056824" w:rsidRPr="006C092A" w:rsidRDefault="00056824" w:rsidP="00056824">
      <w:pPr>
        <w:widowControl w:val="0"/>
        <w:rPr>
          <w:rFonts w:ascii="PF Din Text Comp Pro Light" w:hAnsi="PF Din Text Comp Pro Light"/>
          <w:b/>
          <w:sz w:val="40"/>
          <w:szCs w:val="40"/>
        </w:rPr>
      </w:pPr>
    </w:p>
    <w:p w:rsidR="00056824" w:rsidRPr="006C092A" w:rsidRDefault="00056824" w:rsidP="00056824">
      <w:pPr>
        <w:widowControl w:val="0"/>
        <w:rPr>
          <w:rFonts w:ascii="PF Din Text Comp Pro Light" w:hAnsi="PF Din Text Comp Pro Light"/>
          <w:sz w:val="40"/>
          <w:szCs w:val="40"/>
        </w:rPr>
      </w:pPr>
      <w:r w:rsidRPr="006C092A">
        <w:rPr>
          <w:rFonts w:ascii="PF Din Text Comp Pro Light" w:hAnsi="PF Din Text Comp Pro Light"/>
          <w:b/>
          <w:sz w:val="40"/>
          <w:szCs w:val="40"/>
        </w:rPr>
        <w:t>Внимание!</w:t>
      </w:r>
      <w:r w:rsidRPr="006C092A">
        <w:rPr>
          <w:rFonts w:ascii="PF Din Text Comp Pro Light" w:hAnsi="PF Din Text Comp Pro Light"/>
          <w:sz w:val="40"/>
          <w:szCs w:val="40"/>
        </w:rPr>
        <w:t xml:space="preserve"> Срок давности привлечения к административной ответственности за нарушение законодательства                                       о несостоятельности (банкротстве) увеличен с 1 года до 3 лет.</w:t>
      </w:r>
    </w:p>
    <w:p w:rsidR="00D83A0A" w:rsidRPr="004E681E" w:rsidRDefault="00D83A0A" w:rsidP="00D83A0A">
      <w:pPr>
        <w:autoSpaceDE w:val="0"/>
        <w:autoSpaceDN w:val="0"/>
        <w:adjustRightInd w:val="0"/>
        <w:ind w:firstLine="708"/>
        <w:rPr>
          <w:rFonts w:ascii="PF Din Text Cond Pro Light" w:hAnsi="PF Din Text Cond Pro Light"/>
          <w:color w:val="000000"/>
          <w:sz w:val="28"/>
          <w:szCs w:val="28"/>
        </w:rPr>
      </w:pPr>
      <w:r w:rsidRPr="004E681E">
        <w:rPr>
          <w:rFonts w:ascii="PF Din Text Cond Pro Light" w:hAnsi="PF Din Text Cond Pro Light"/>
          <w:color w:val="000000"/>
          <w:sz w:val="28"/>
          <w:szCs w:val="28"/>
        </w:rPr>
        <w:t xml:space="preserve">. </w:t>
      </w:r>
    </w:p>
    <w:p w:rsidR="00D83A0A" w:rsidRPr="004E681E" w:rsidRDefault="00D83A0A" w:rsidP="00D83A0A">
      <w:pPr>
        <w:autoSpaceDE w:val="0"/>
        <w:autoSpaceDN w:val="0"/>
        <w:adjustRightInd w:val="0"/>
        <w:ind w:firstLine="708"/>
        <w:rPr>
          <w:rFonts w:ascii="PF Din Text Cond Pro Light" w:hAnsi="PF Din Text Cond Pro Light"/>
          <w:sz w:val="28"/>
          <w:szCs w:val="28"/>
        </w:rPr>
      </w:pPr>
    </w:p>
    <w:p w:rsidR="00EB1753" w:rsidRPr="00D83A0A" w:rsidRDefault="00EB1753" w:rsidP="00D83A0A">
      <w:pPr>
        <w:rPr>
          <w:szCs w:val="28"/>
        </w:rPr>
      </w:pPr>
    </w:p>
    <w:sectPr w:rsidR="00EB1753" w:rsidRPr="00D83A0A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8A9"/>
    <w:rsid w:val="0000572D"/>
    <w:rsid w:val="00047245"/>
    <w:rsid w:val="000505E8"/>
    <w:rsid w:val="00056824"/>
    <w:rsid w:val="00062B98"/>
    <w:rsid w:val="00066607"/>
    <w:rsid w:val="00075015"/>
    <w:rsid w:val="00085FEE"/>
    <w:rsid w:val="000B1AD9"/>
    <w:rsid w:val="000B511F"/>
    <w:rsid w:val="000C388A"/>
    <w:rsid w:val="000E491F"/>
    <w:rsid w:val="000E75A6"/>
    <w:rsid w:val="00102FE8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3A4B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50B6A"/>
    <w:rsid w:val="0026266D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F369F"/>
    <w:rsid w:val="0030013C"/>
    <w:rsid w:val="003115ED"/>
    <w:rsid w:val="00317E84"/>
    <w:rsid w:val="00355B80"/>
    <w:rsid w:val="003762C7"/>
    <w:rsid w:val="003A2C49"/>
    <w:rsid w:val="003A3F6D"/>
    <w:rsid w:val="003B3BAA"/>
    <w:rsid w:val="003B77B1"/>
    <w:rsid w:val="003C1BE5"/>
    <w:rsid w:val="003E1E13"/>
    <w:rsid w:val="003E3E82"/>
    <w:rsid w:val="003F03A7"/>
    <w:rsid w:val="003F60C8"/>
    <w:rsid w:val="003F7E98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A7399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6F4E4A"/>
    <w:rsid w:val="00720FC5"/>
    <w:rsid w:val="00725804"/>
    <w:rsid w:val="00733627"/>
    <w:rsid w:val="00745608"/>
    <w:rsid w:val="00766124"/>
    <w:rsid w:val="0077628D"/>
    <w:rsid w:val="007A5187"/>
    <w:rsid w:val="007A737A"/>
    <w:rsid w:val="007C1942"/>
    <w:rsid w:val="007E4F7F"/>
    <w:rsid w:val="007F433E"/>
    <w:rsid w:val="00810A9E"/>
    <w:rsid w:val="0081118D"/>
    <w:rsid w:val="00813C3B"/>
    <w:rsid w:val="00834972"/>
    <w:rsid w:val="00855CD3"/>
    <w:rsid w:val="0086255D"/>
    <w:rsid w:val="00882B85"/>
    <w:rsid w:val="008840A2"/>
    <w:rsid w:val="00890052"/>
    <w:rsid w:val="008C6570"/>
    <w:rsid w:val="008D33CB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A076FB"/>
    <w:rsid w:val="00A10EB6"/>
    <w:rsid w:val="00A11858"/>
    <w:rsid w:val="00A44CAD"/>
    <w:rsid w:val="00A512DA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D0D88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16136"/>
    <w:rsid w:val="00C373AB"/>
    <w:rsid w:val="00C447C8"/>
    <w:rsid w:val="00C65973"/>
    <w:rsid w:val="00C9281C"/>
    <w:rsid w:val="00CB3CDC"/>
    <w:rsid w:val="00CC609C"/>
    <w:rsid w:val="00CE3F13"/>
    <w:rsid w:val="00CE4090"/>
    <w:rsid w:val="00CF1997"/>
    <w:rsid w:val="00D30810"/>
    <w:rsid w:val="00D37E33"/>
    <w:rsid w:val="00D40AB3"/>
    <w:rsid w:val="00D4270A"/>
    <w:rsid w:val="00D452CC"/>
    <w:rsid w:val="00D83A0A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20206"/>
    <w:rsid w:val="00E3036D"/>
    <w:rsid w:val="00E30B4D"/>
    <w:rsid w:val="00E47FD1"/>
    <w:rsid w:val="00E62118"/>
    <w:rsid w:val="00E6272D"/>
    <w:rsid w:val="00E93BCA"/>
    <w:rsid w:val="00E9557B"/>
    <w:rsid w:val="00EB1753"/>
    <w:rsid w:val="00ED5CC2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  <w:style w:type="paragraph" w:styleId="ab">
    <w:name w:val="Body Text"/>
    <w:basedOn w:val="a"/>
    <w:link w:val="ac"/>
    <w:rsid w:val="00D83A0A"/>
    <w:pPr>
      <w:spacing w:after="120"/>
      <w:ind w:firstLine="0"/>
      <w:jc w:val="left"/>
    </w:pPr>
    <w:rPr>
      <w:rFonts w:ascii="Times New Roman" w:hAnsi="Times New Roman"/>
      <w:snapToGrid w:val="0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83A0A"/>
    <w:rPr>
      <w:rFonts w:ascii="Times New Roman" w:eastAsia="Times New Roman" w:hAnsi="Times New Roman"/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BD0-FBA2-40CF-BCF4-B9B1A62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7457-00-814</cp:lastModifiedBy>
  <cp:revision>3</cp:revision>
  <cp:lastPrinted>2015-04-01T11:39:00Z</cp:lastPrinted>
  <dcterms:created xsi:type="dcterms:W3CDTF">2016-03-23T11:29:00Z</dcterms:created>
  <dcterms:modified xsi:type="dcterms:W3CDTF">2016-03-23T11:30:00Z</dcterms:modified>
</cp:coreProperties>
</file>