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02E">
        <w:t xml:space="preserve"> </w:t>
      </w:r>
      <w:r w:rsidR="0020002E">
        <w:tab/>
      </w:r>
      <w:r w:rsidRPr="0020002E">
        <w:rPr>
          <w:color w:val="000000"/>
          <w:sz w:val="28"/>
          <w:szCs w:val="28"/>
          <w:shd w:val="clear" w:color="auto" w:fill="FFFFFF"/>
        </w:rPr>
        <w:t xml:space="preserve">Создание фиктивных фирм, или так называемых «фирм-однодневок» на поставных лиц, является одним из распространенных преступлений в сфере современной экономической деятельности. Подобные фирмы активно используются для совершения различного рода преступлений, связанных с движением безналичных денежных средств и их </w:t>
      </w:r>
      <w:proofErr w:type="spellStart"/>
      <w:r w:rsidRPr="0020002E">
        <w:rPr>
          <w:color w:val="000000"/>
          <w:sz w:val="28"/>
          <w:szCs w:val="28"/>
          <w:shd w:val="clear" w:color="auto" w:fill="FFFFFF"/>
        </w:rPr>
        <w:t>обналичивания</w:t>
      </w:r>
      <w:proofErr w:type="spellEnd"/>
      <w:r w:rsidRPr="0020002E">
        <w:rPr>
          <w:color w:val="000000"/>
          <w:sz w:val="28"/>
          <w:szCs w:val="28"/>
          <w:shd w:val="clear" w:color="auto" w:fill="FFFFFF"/>
        </w:rPr>
        <w:t>: различных форм хищений, уклонения от уплаты налогов и таможенных платежей, незаконной банковской деятельности, легализации доходов, полученных преступным путем, фиктивного банкротства и т.д.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Действия, связанные с незаконным созданием такого рода фиктивных юридических лиц, являются уголовно-наказуемыми (ответственность за них установлена ст.173.1 УК РФ).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Сотрудники таких фирм, как правило, набираются только для создания видимости работы, а учредительные документы оформляются на подставных лиц, в числе которых немало безработных или иных граждан, согласившихся за небольшое вознаграждение предоставить свой паспорт и подписать ряд документов. Многие из таких лиц ведут асоциальный образ жизни и даже не интересуются, для каких целей используются их документы.</w:t>
      </w:r>
    </w:p>
    <w:p w:rsidR="0020002E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0002E">
        <w:rPr>
          <w:color w:val="000000"/>
          <w:sz w:val="28"/>
          <w:szCs w:val="28"/>
          <w:shd w:val="clear" w:color="auto" w:fill="FFFFFF"/>
        </w:rPr>
        <w:t xml:space="preserve">Безусловно, действия мошенников, использующих чужие паспорта в названных целях, преследуются уголовным законодательством России. Однако уголовного наказания не избегут и сами граждане, осознанно предоставляющие для этого свои документы. 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Ответственность за вышеуказанные незаконные действия установлена ст.173.2 УК РФ.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Данная норма содержит фактически два самостоятельных состава преступления, один из которых предусмотрен частью первой, другой – частью второй указанной статьи кодекса.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Частью первой ст.173.2 УК РФ установлена ответственность за 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Норма направлена на предупреждение посредством уголовного запрета и наказания противоправных действий лиц, за вознаграждение соглашающихся на регистрацию на их имя фирм-однодневок, используемых в последующем для преступной деятельности.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Документом, удостоверяющим личность, необходимым для возможности образования юридического лица, является общегражданский паспорт.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Аналогичным образом (по ч.1 ст.173.2 УК РФ) квалифицируются и действия лица, которое выдало доверенность, то есть письменное полномочие на представительство данного лица третьими лицами. Такое письменное уполномочие на совершение сделки представителем может быть дано представляемым непосредственно третьему лицу.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Общественная опасность деяния заключается в том, что лицо предоставляет свой паспорт или выдает доверенность, будучи осведомленным о том, что они будут использованы для внесения в ЕГРЮЛ.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lastRenderedPageBreak/>
        <w:t>Объективная сторона указанного состава преступления выражается в действии – предоставлении вышеуказанных документов.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Субъектом преступления может являться любой гражданин Российской Федерации, иностранный гражданин, лицо без гражданства, достигшее 16-летнего возраста, дееспособный, вменяемый, предоставивший паспорт либо выдавший доверенность.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Преступление совершается с прямым умыслом, когда виновный осознает противоправный характер своих действий, осведомлен о цели передачи документов и желает наступления вредных последствий в виде внесения в ЕГРЮЛ сведений о подставном лице. Такая осведомленность является обязательным признаком состава преступления.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Преступление является оконченным в момент передачи документов.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В данном случае общественную опасность представляет само действие, независимо от наступивших последствий.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 xml:space="preserve">За совершение указанного преступления виновные наказываются штрафом в размере от ста тысяч до трехсот тысяч рублей или в размере заработной платы или </w:t>
      </w:r>
      <w:proofErr w:type="gramStart"/>
      <w:r w:rsidRPr="0020002E">
        <w:rPr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20002E">
        <w:rPr>
          <w:color w:val="000000"/>
          <w:sz w:val="28"/>
          <w:szCs w:val="28"/>
          <w:shd w:val="clear" w:color="auto" w:fill="FFFFFF"/>
        </w:rPr>
        <w:t xml:space="preserve"> осужденного за период от семи месяцев до одного года, либо обязательными работами на срок от ста восьмидесяти до двухсот сорока часов, либо исправительными работами на срок до двух лет.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Часть вторая ст. 173.2 предусматривает ответственность за 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единый государственный реестр юридических лиц сведений о подставном лице.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В соответствии с примечанием к данной статье под приобретением документа, удостоверяющего личность, понимается его получение на возмездной или безвозмездной основе, присвоение найденного или похищенного документа, удостоверяющего личность, а также завладение им путем обмана или злоупотребления доверием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Например, документ берется у лица для осуществления якобы правомерных действий - регистрации по месту жительства, оформления недвижимого имущества, заключения сделки и т.д., а на самом деле используется для образования юридического лица с целью совершения преступлений).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27.07.2006 №152-ФЗ «О персональных данных» персональные данные - это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 xml:space="preserve">По смыслу указанного Закона персональными данными, полученными незаконным путем, являются персональные данные, полученные без согласия их субъекта или с нарушением принципа конфиденциальности персональных </w:t>
      </w:r>
      <w:r w:rsidRPr="0020002E">
        <w:rPr>
          <w:color w:val="000000"/>
          <w:sz w:val="28"/>
          <w:szCs w:val="28"/>
          <w:shd w:val="clear" w:color="auto" w:fill="FFFFFF"/>
        </w:rPr>
        <w:lastRenderedPageBreak/>
        <w:t>данных (обязательное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основания).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Объективная сторона данного преступления выражается в действии по приобретению документа, удостоверяющего личность, или использовании полученных незаконным путем персональных данных, если эти действия совершены для внесения сведений о подставном лице в ЕГРЮЛ.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Субъектом данного преступления может являться любой гражданин Российской Федерации, иностранный гражданин, лицо без гражданства, достигшее 16-летнего возраста, дееспособный, вменяемый, осуществивший приобретение документа, удостоверяющего личность, или использовавший персональные данные для внесения в ЕГРЮЛ сведений о подставном лице.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Преступление совершается с прямым умыслом. Виновный осознает противоправный характер своих действий и желает наступления вредных последствий в виде внесения сведений о подставном лице в ЕГРЮЛ.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>Преступление является оконченным в момент противоправного приобретения документа, удостоверяющего личность, или использования персональных данных в указанных в статье целях. Общественную опасность представляет само действие, независимо от наступивших последствий.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0002E">
        <w:rPr>
          <w:color w:val="000000"/>
          <w:sz w:val="28"/>
          <w:szCs w:val="28"/>
          <w:shd w:val="clear" w:color="auto" w:fill="FFFFFF"/>
        </w:rPr>
        <w:t xml:space="preserve">Наказывается данное преступление штрафом в размере от трехсот до пятисот тысяч рублей или в размере заработной платы или </w:t>
      </w:r>
      <w:proofErr w:type="gramStart"/>
      <w:r w:rsidRPr="0020002E">
        <w:rPr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20002E">
        <w:rPr>
          <w:color w:val="000000"/>
          <w:sz w:val="28"/>
          <w:szCs w:val="28"/>
          <w:shd w:val="clear" w:color="auto" w:fill="FFFFFF"/>
        </w:rPr>
        <w:t xml:space="preserve"> осужденного за период от одного года до трех лет, либо принудительными работами на срок до трех лет, либо лишением свободы на тот же срок.</w:t>
      </w:r>
    </w:p>
    <w:p w:rsidR="00D96295" w:rsidRPr="0020002E" w:rsidRDefault="00D96295" w:rsidP="002000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02E">
        <w:rPr>
          <w:color w:val="333333"/>
          <w:sz w:val="28"/>
          <w:szCs w:val="28"/>
        </w:rPr>
        <w:t> </w:t>
      </w:r>
    </w:p>
    <w:p w:rsidR="0020002E" w:rsidRPr="0020002E" w:rsidRDefault="0020002E" w:rsidP="002000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02E">
        <w:rPr>
          <w:color w:val="333333"/>
          <w:sz w:val="28"/>
          <w:szCs w:val="28"/>
        </w:rPr>
        <w:t>Заместитель городского прокурора</w:t>
      </w:r>
    </w:p>
    <w:p w:rsidR="0020002E" w:rsidRPr="0020002E" w:rsidRDefault="0020002E" w:rsidP="002000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02E">
        <w:rPr>
          <w:color w:val="333333"/>
          <w:sz w:val="28"/>
          <w:szCs w:val="28"/>
        </w:rPr>
        <w:t>И.В. Лоскутова</w:t>
      </w:r>
    </w:p>
    <w:p w:rsidR="00D96295" w:rsidRPr="0020002E" w:rsidRDefault="00D96295" w:rsidP="00200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295" w:rsidRDefault="00D96295">
      <w:bookmarkStart w:id="0" w:name="_GoBack"/>
      <w:bookmarkEnd w:id="0"/>
    </w:p>
    <w:sectPr w:rsidR="00D96295" w:rsidSect="00CE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CF"/>
    <w:rsid w:val="001B05E1"/>
    <w:rsid w:val="0020002E"/>
    <w:rsid w:val="002A4C26"/>
    <w:rsid w:val="00330592"/>
    <w:rsid w:val="0033456A"/>
    <w:rsid w:val="005E3320"/>
    <w:rsid w:val="007219DE"/>
    <w:rsid w:val="00854DED"/>
    <w:rsid w:val="00965581"/>
    <w:rsid w:val="00A00BCD"/>
    <w:rsid w:val="00AA26C9"/>
    <w:rsid w:val="00AB7D39"/>
    <w:rsid w:val="00CA70CF"/>
    <w:rsid w:val="00CE0137"/>
    <w:rsid w:val="00D20921"/>
    <w:rsid w:val="00D96295"/>
    <w:rsid w:val="00DF3279"/>
    <w:rsid w:val="00EA02B0"/>
    <w:rsid w:val="00F142A7"/>
    <w:rsid w:val="00F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B521A"/>
  <w15:docId w15:val="{E209FE34-5273-43FF-97AD-FA6C484E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3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109">
          <w:marLeft w:val="0"/>
          <w:marRight w:val="22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09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10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09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082">
                      <w:marLeft w:val="108"/>
                      <w:marRight w:val="108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0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0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1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144">
          <w:marLeft w:val="300"/>
          <w:marRight w:val="480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ГБУЗ «Районная больница г</vt:lpstr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ГБУЗ «Районная больница г</dc:title>
  <dc:subject/>
  <dc:creator>Лоскутова Ирина Владимировна</dc:creator>
  <cp:keywords/>
  <dc:description/>
  <cp:lastModifiedBy>Лоскутова Ирина Владимировна</cp:lastModifiedBy>
  <cp:revision>2</cp:revision>
  <dcterms:created xsi:type="dcterms:W3CDTF">2022-12-23T07:31:00Z</dcterms:created>
  <dcterms:modified xsi:type="dcterms:W3CDTF">2022-12-23T07:31:00Z</dcterms:modified>
</cp:coreProperties>
</file>