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3" w:rsidRPr="00D97163" w:rsidRDefault="00D97163" w:rsidP="00D9716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957F9" wp14:editId="4F40B57C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63" w:rsidRPr="00D97163" w:rsidRDefault="00D97163" w:rsidP="00D97163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D97163" w:rsidRPr="00D97163" w:rsidRDefault="00D97163" w:rsidP="00D9716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D97163" w:rsidRPr="00D97163" w:rsidRDefault="00D97163" w:rsidP="00D97163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D97163" w:rsidRPr="00D97163" w:rsidRDefault="00D97163" w:rsidP="00D97163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D97163" w:rsidRPr="00D97163" w:rsidRDefault="00D97163" w:rsidP="00D97163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91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№</w:t>
      </w:r>
      <w:r w:rsidR="00391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156/19</w:t>
      </w:r>
      <w:bookmarkStart w:id="0" w:name="_GoBack"/>
      <w:bookmarkEnd w:id="0"/>
    </w:p>
    <w:p w:rsidR="00D97163" w:rsidRPr="00D97163" w:rsidRDefault="00D97163" w:rsidP="00D97163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Сатка</w:t>
      </w:r>
    </w:p>
    <w:p w:rsidR="00D97163" w:rsidRPr="00D97163" w:rsidRDefault="00D97163" w:rsidP="00D97163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D97163" w:rsidRPr="00D97163" w:rsidRDefault="00D97163" w:rsidP="00D97163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 w:rsidR="00897B62">
        <w:rPr>
          <w:rFonts w:ascii="Times New Roman" w:eastAsia="Calibri" w:hAnsi="Times New Roman" w:cs="Times New Roman"/>
          <w:bCs/>
          <w:lang w:eastAsia="ru-RU"/>
        </w:rPr>
        <w:t xml:space="preserve">и дополнений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в </w:t>
      </w:r>
      <w:r w:rsidR="00897B62">
        <w:rPr>
          <w:rFonts w:ascii="Times New Roman" w:eastAsia="Calibri" w:hAnsi="Times New Roman" w:cs="Times New Roman"/>
          <w:bCs/>
          <w:lang w:eastAsia="ru-RU"/>
        </w:rPr>
        <w:t xml:space="preserve">приложение №1 решения </w:t>
      </w:r>
      <w:r w:rsidR="00897B62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Саткинского муниципального района от 18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="00897B62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2016 № 93/11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</w:t>
      </w:r>
      <w:r w:rsidRPr="00D97163">
        <w:rPr>
          <w:rFonts w:ascii="Times New Roman" w:eastAsia="Calibri" w:hAnsi="Times New Roman" w:cs="Times New Roman"/>
          <w:bCs/>
          <w:lang w:eastAsia="ru-RU"/>
        </w:rPr>
        <w:t>Положени</w:t>
      </w:r>
      <w:r w:rsidR="00897B62">
        <w:rPr>
          <w:rFonts w:ascii="Times New Roman" w:eastAsia="Calibri" w:hAnsi="Times New Roman" w:cs="Times New Roman"/>
          <w:bCs/>
          <w:lang w:eastAsia="ru-RU"/>
        </w:rPr>
        <w:t>я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 «О бюджетном процессе в Саткинском муниципальном районе в новой редакции»</w:t>
      </w:r>
    </w:p>
    <w:p w:rsidR="00D97163" w:rsidRPr="00D97163" w:rsidRDefault="00D97163" w:rsidP="00D97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7163" w:rsidRPr="00D97163" w:rsidRDefault="00D97163" w:rsidP="00D97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</w:t>
      </w:r>
    </w:p>
    <w:p w:rsidR="00D97163" w:rsidRPr="00D97163" w:rsidRDefault="00D97163" w:rsidP="00D97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7163" w:rsidRPr="00D97163" w:rsidRDefault="00D97163" w:rsidP="00897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97163" w:rsidRPr="00D97163" w:rsidRDefault="00D97163" w:rsidP="00D97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7163" w:rsidRPr="00D97163" w:rsidRDefault="00D97163" w:rsidP="00D9716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решения </w:t>
      </w:r>
      <w:r w:rsidR="00897B62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Саткинского муниципального района от 18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="00897B62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2016 № 93/11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бюджетном процессе в Саткинском муниципальном районе в новой редакции»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53255" w:rsidRDefault="00953255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дополнить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34-1 следующего содержания:</w:t>
      </w:r>
    </w:p>
    <w:p w:rsidR="00953255" w:rsidRDefault="00953255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«34-1) устанавливает порядок возврата межбюджетных трансфертов, полученных в форме иных межбюджетных трансфертов, имеющих целевое назначение, из районного бюджета.». </w:t>
      </w:r>
    </w:p>
    <w:p w:rsidR="00EC3505" w:rsidRDefault="00953255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377F0B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06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33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пункта</w:t>
      </w:r>
      <w:r w:rsidR="0006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A75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исключить;</w:t>
      </w:r>
    </w:p>
    <w:p w:rsidR="00D27E50" w:rsidRDefault="00953255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75D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27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D27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 дополнить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D27E50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5-1) следующего содержания:</w:t>
      </w:r>
    </w:p>
    <w:p w:rsidR="00D27E50" w:rsidRDefault="00D27E50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«5-1) распределение бюджетных ассигнований по разделам и подразделам классификации расходов бюджетов на очередной финансовый год и плановый период;»;</w:t>
      </w:r>
      <w:r w:rsidR="00A75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27E50" w:rsidRDefault="00D27E50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6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 исключить;</w:t>
      </w:r>
    </w:p>
    <w:p w:rsidR="00A75DF3" w:rsidRDefault="00D27E50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897B62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2C6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78</w:t>
      </w:r>
      <w:r w:rsidR="00A75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C6F2C" w:rsidRPr="002C6F2C" w:rsidRDefault="00A75DF3" w:rsidP="002C6F2C">
      <w:pPr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="002C6F2C"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</w:t>
      </w:r>
      <w:r w:rsidR="0095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они были ранее предоставлены</w:t>
      </w:r>
      <w:r w:rsidR="002C6F2C"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первых 15 рабочих дней текущего финансового года.</w:t>
      </w:r>
    </w:p>
    <w:p w:rsidR="002C6F2C" w:rsidRDefault="002C6F2C" w:rsidP="002C6F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главным администратором средств</w:t>
      </w:r>
      <w:r w:rsidR="002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</w:t>
      </w: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наличии (об отсутствии)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</w:t>
      </w: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трансфертах, не использованных в отчетном финансовом году, а также возврат </w:t>
      </w:r>
      <w:r w:rsidR="002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иных межбюджетных трансфертов в районный бюджет</w:t>
      </w: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2C6F2C" w:rsidRPr="002C6F2C" w:rsidRDefault="002C6F2C" w:rsidP="002C6F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F2C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главного администратора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2C6F2C">
        <w:rPr>
          <w:rFonts w:ascii="Times New Roman" w:hAnsi="Times New Roman" w:cs="Times New Roman"/>
          <w:bCs/>
          <w:sz w:val="24"/>
          <w:szCs w:val="24"/>
        </w:rPr>
        <w:t xml:space="preserve"> бюджета о наличии потребности в </w:t>
      </w:r>
      <w:r w:rsidR="006F6465">
        <w:rPr>
          <w:rFonts w:ascii="Times New Roman" w:hAnsi="Times New Roman" w:cs="Times New Roman"/>
          <w:bCs/>
          <w:sz w:val="24"/>
          <w:szCs w:val="24"/>
        </w:rPr>
        <w:t xml:space="preserve">иных </w:t>
      </w:r>
      <w:r w:rsidRPr="002C6F2C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трансфертах, не использованных в отчетном финансовом году, согласованным с </w:t>
      </w:r>
      <w:r>
        <w:rPr>
          <w:rFonts w:ascii="Times New Roman" w:hAnsi="Times New Roman" w:cs="Times New Roman"/>
          <w:bCs/>
          <w:sz w:val="24"/>
          <w:szCs w:val="24"/>
        </w:rPr>
        <w:t>Финансовым управлением администрации Саткинского муниципального района</w:t>
      </w:r>
      <w:r w:rsidRPr="002C6F2C">
        <w:rPr>
          <w:rFonts w:ascii="Times New Roman" w:hAnsi="Times New Roman" w:cs="Times New Roman"/>
          <w:bCs/>
          <w:sz w:val="24"/>
          <w:szCs w:val="24"/>
        </w:rPr>
        <w:t xml:space="preserve">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2C6F2C" w:rsidRPr="002C6F2C" w:rsidRDefault="002C6F2C" w:rsidP="002C6F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2C">
        <w:rPr>
          <w:rFonts w:ascii="Times New Roman" w:hAnsi="Times New Roman" w:cs="Times New Roman"/>
          <w:sz w:val="24"/>
          <w:szCs w:val="24"/>
        </w:rPr>
        <w:t xml:space="preserve">Порядок принятия решений, предусмотренных </w:t>
      </w:r>
      <w:hyperlink r:id="rId8" w:history="1">
        <w:r w:rsidRPr="002C6F2C">
          <w:rPr>
            <w:rFonts w:ascii="Times New Roman" w:hAnsi="Times New Roman" w:cs="Times New Roman"/>
            <w:sz w:val="24"/>
            <w:szCs w:val="24"/>
          </w:rPr>
          <w:t>абзацем третьим</w:t>
        </w:r>
      </w:hyperlink>
      <w:r w:rsidRPr="002C6F2C">
        <w:rPr>
          <w:rFonts w:ascii="Times New Roman" w:hAnsi="Times New Roman" w:cs="Times New Roman"/>
          <w:sz w:val="24"/>
          <w:szCs w:val="24"/>
        </w:rPr>
        <w:t xml:space="preserve"> настоящей части, устанавливается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Pr="002C6F2C">
        <w:rPr>
          <w:rFonts w:ascii="Times New Roman" w:hAnsi="Times New Roman" w:cs="Times New Roman"/>
          <w:sz w:val="24"/>
          <w:szCs w:val="24"/>
        </w:rPr>
        <w:t xml:space="preserve">, регулирующим порядок возврата межбюджетных трансфертов, полученных в форме иных межбюджетных трансфертов, имеющих целевое назначение, 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C6F2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2C6F2C" w:rsidRDefault="002C6F2C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неиспользованный остаток</w:t>
      </w:r>
      <w:r w:rsidRPr="002C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межбюджетных трансфертов, полученных в форме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Финансовым управлением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Саткинского муниципального </w:t>
      </w:r>
      <w:r w:rsidRPr="002C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 с соблюдением общих требований, установленных Министерством финансов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C6F2C" w:rsidRDefault="00D27E50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C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 исключить;</w:t>
      </w:r>
    </w:p>
    <w:p w:rsidR="00377F0B" w:rsidRDefault="00D27E50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r w:rsidR="0089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103:</w:t>
      </w:r>
    </w:p>
    <w:p w:rsidR="00377F0B" w:rsidRDefault="009E615B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дополнить словами «при санкционировании операций»;</w:t>
      </w:r>
    </w:p>
    <w:p w:rsidR="00377F0B" w:rsidRDefault="009E615B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под</w:t>
      </w:r>
      <w:r w:rsidR="0095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слова «контроля» дополнить словами «при санкционировании операций»;</w:t>
      </w:r>
    </w:p>
    <w:p w:rsidR="00377F0B" w:rsidRDefault="009E615B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</w:t>
      </w:r>
      <w:r w:rsidR="0095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исключить;</w:t>
      </w:r>
    </w:p>
    <w:p w:rsidR="00377F0B" w:rsidRDefault="00D27E50" w:rsidP="002C6F2C">
      <w:pPr>
        <w:tabs>
          <w:tab w:val="left" w:pos="90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E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104 дополнить </w:t>
      </w:r>
      <w:r w:rsidR="009E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5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37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следующего содержания:</w:t>
      </w:r>
    </w:p>
    <w:p w:rsidR="00377F0B" w:rsidRDefault="00377F0B" w:rsidP="00377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«3) </w:t>
      </w:r>
      <w:r>
        <w:rPr>
          <w:rFonts w:ascii="Times New Roman" w:hAnsi="Times New Roman" w:cs="Times New Roman"/>
          <w:sz w:val="24"/>
          <w:szCs w:val="24"/>
        </w:rPr>
        <w:t>Порядок осуществления полномочий по внутреннему муниципальному финансовому контролю органами внутреннего муниципального финансового контроля определяется нормативным правовым актом Администрацией Саткинского муниципального района, а также стандартами осуществления внутреннего муниципального финансового контроля.</w:t>
      </w:r>
    </w:p>
    <w:p w:rsidR="00377F0B" w:rsidRDefault="00377F0B" w:rsidP="00377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полномочий по внутреннему муниципальному финансовому контролю органами внутреннего муниципального финансового контроля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377F0B" w:rsidRDefault="00377F0B" w:rsidP="00377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осуществления внутреннего муниципального финансового контроля утверждаются уполномоченным органом исполнительной власти района в соответствии с порядком осуществления полномочий по внутреннему муниципальному финансовому контролю органами внутреннего муниципального финансового контроля, определенным нормативным правовым актом Админ</w:t>
      </w:r>
      <w:r w:rsidR="00953255">
        <w:rPr>
          <w:rFonts w:ascii="Times New Roman" w:hAnsi="Times New Roman" w:cs="Times New Roman"/>
          <w:sz w:val="24"/>
          <w:szCs w:val="24"/>
        </w:rPr>
        <w:t xml:space="preserve">истрации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района.".</w:t>
      </w:r>
    </w:p>
    <w:p w:rsidR="00D97163" w:rsidRPr="00D97163" w:rsidRDefault="00377F0B" w:rsidP="00D971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97163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97163" w:rsidRPr="00D97163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комиссию по финансам, бюджету и экономической политике (председатель Ковригина И.М.).</w:t>
      </w:r>
    </w:p>
    <w:p w:rsidR="00D97163" w:rsidRDefault="00377F0B" w:rsidP="00D97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97163" w:rsidRPr="00D971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7163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82192" w:rsidRDefault="00082192" w:rsidP="00082192">
      <w:pPr>
        <w:tabs>
          <w:tab w:val="left" w:pos="935"/>
          <w:tab w:val="left" w:pos="1080"/>
          <w:tab w:val="left" w:pos="1122"/>
          <w:tab w:val="num" w:pos="1440"/>
          <w:tab w:val="num" w:pos="17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5-1 </w:t>
      </w:r>
      <w:r w:rsidR="009E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решения Собрания депутатов Саткинского муниципального района «О бюджетном процессе в Саткинском муниципальном районе в новой редакции» (в редак</w:t>
      </w:r>
      <w:r w:rsidR="00D85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настоящего решения) применяю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правоотношениям, возникающим при составлении и исполнении бюджета Саткинского муниципального района на 2017 год и на плановый период 2018 и 2019 годов.</w:t>
      </w:r>
    </w:p>
    <w:p w:rsidR="001C7F80" w:rsidRDefault="001C7F80" w:rsidP="001C7F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47" w:rsidRDefault="00075647" w:rsidP="001C7F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47" w:rsidRDefault="00075647" w:rsidP="001C7F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47" w:rsidRPr="00D97163" w:rsidRDefault="00075647" w:rsidP="001C7F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47" w:rsidRDefault="00F31248" w:rsidP="000756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F31248" w:rsidRPr="00075647" w:rsidRDefault="00F31248" w:rsidP="000756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163" w:rsidRDefault="00D97163" w:rsidP="00D9716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05" w:type="dxa"/>
        <w:tblLook w:val="01E0" w:firstRow="1" w:lastRow="1" w:firstColumn="1" w:lastColumn="1" w:noHBand="0" w:noVBand="0"/>
      </w:tblPr>
      <w:tblGrid>
        <w:gridCol w:w="4805"/>
      </w:tblGrid>
      <w:tr w:rsidR="00075647" w:rsidRPr="00D97163" w:rsidTr="00075647">
        <w:tc>
          <w:tcPr>
            <w:tcW w:w="4805" w:type="dxa"/>
          </w:tcPr>
          <w:p w:rsidR="00075647" w:rsidRPr="00D97163" w:rsidRDefault="00075647" w:rsidP="00D9716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163" w:rsidRPr="00D97163" w:rsidRDefault="00D97163" w:rsidP="00D97163">
      <w:pPr>
        <w:tabs>
          <w:tab w:val="left" w:pos="1080"/>
        </w:tabs>
        <w:spacing w:after="0" w:line="360" w:lineRule="auto"/>
        <w:rPr>
          <w:rFonts w:ascii="Calibri" w:eastAsia="Calibri" w:hAnsi="Calibri" w:cs="Times New Roman"/>
        </w:rPr>
      </w:pPr>
    </w:p>
    <w:p w:rsidR="00D97163" w:rsidRPr="00D97163" w:rsidRDefault="00D97163" w:rsidP="00D97163">
      <w:pPr>
        <w:tabs>
          <w:tab w:val="left" w:pos="1080"/>
        </w:tabs>
        <w:spacing w:after="0" w:line="360" w:lineRule="auto"/>
        <w:rPr>
          <w:rFonts w:ascii="Calibri" w:eastAsia="Calibri" w:hAnsi="Calibri" w:cs="Times New Roman"/>
        </w:rPr>
      </w:pPr>
    </w:p>
    <w:p w:rsidR="00D97163" w:rsidRPr="00D97163" w:rsidRDefault="00D97163" w:rsidP="00D97163">
      <w:pPr>
        <w:tabs>
          <w:tab w:val="left" w:pos="1080"/>
        </w:tabs>
        <w:spacing w:after="0" w:line="360" w:lineRule="auto"/>
        <w:rPr>
          <w:rFonts w:ascii="Calibri" w:eastAsia="Calibri" w:hAnsi="Calibri" w:cs="Times New Roman"/>
        </w:rPr>
      </w:pPr>
    </w:p>
    <w:p w:rsidR="00D97163" w:rsidRPr="00D97163" w:rsidRDefault="00D97163" w:rsidP="00D97163">
      <w:pPr>
        <w:tabs>
          <w:tab w:val="left" w:pos="1080"/>
        </w:tabs>
        <w:spacing w:after="0" w:line="360" w:lineRule="auto"/>
        <w:rPr>
          <w:rFonts w:ascii="Calibri" w:eastAsia="Calibri" w:hAnsi="Calibri" w:cs="Times New Roman"/>
        </w:rPr>
      </w:pPr>
    </w:p>
    <w:sectPr w:rsidR="00D97163" w:rsidRPr="00D97163" w:rsidSect="00897B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95F9D"/>
    <w:multiLevelType w:val="hybridMultilevel"/>
    <w:tmpl w:val="A3FED6E4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4161"/>
        </w:tabs>
        <w:ind w:left="4161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2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090D79"/>
    <w:multiLevelType w:val="hybridMultilevel"/>
    <w:tmpl w:val="F7345214"/>
    <w:lvl w:ilvl="0" w:tplc="4E2C5D30">
      <w:start w:val="1"/>
      <w:numFmt w:val="decimal"/>
      <w:lvlText w:val="%1)"/>
      <w:lvlJc w:val="left"/>
      <w:pPr>
        <w:tabs>
          <w:tab w:val="num" w:pos="-582"/>
        </w:tabs>
        <w:ind w:left="-58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43"/>
        </w:tabs>
        <w:ind w:left="-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0"/>
    <w:rsid w:val="00062E46"/>
    <w:rsid w:val="00075647"/>
    <w:rsid w:val="00082192"/>
    <w:rsid w:val="001C7F80"/>
    <w:rsid w:val="00202E45"/>
    <w:rsid w:val="00230BA8"/>
    <w:rsid w:val="002704D0"/>
    <w:rsid w:val="002C6F2C"/>
    <w:rsid w:val="00377F0B"/>
    <w:rsid w:val="00391B9A"/>
    <w:rsid w:val="0040792F"/>
    <w:rsid w:val="004D56F1"/>
    <w:rsid w:val="005A1DEF"/>
    <w:rsid w:val="005C568E"/>
    <w:rsid w:val="00621286"/>
    <w:rsid w:val="0069700F"/>
    <w:rsid w:val="006F6465"/>
    <w:rsid w:val="00897B62"/>
    <w:rsid w:val="00953255"/>
    <w:rsid w:val="009E615B"/>
    <w:rsid w:val="00A26080"/>
    <w:rsid w:val="00A75DF3"/>
    <w:rsid w:val="00D27E50"/>
    <w:rsid w:val="00D6292F"/>
    <w:rsid w:val="00D85ABF"/>
    <w:rsid w:val="00D97163"/>
    <w:rsid w:val="00EC3505"/>
    <w:rsid w:val="00F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6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6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8CEB2AAAD1FAC43C9F82B03ECB88A7AA048BE8D2945B3C3226BC1E915F92652CBA9E86E8AD2239A78737Et8z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02F2-045F-44B4-B62F-C6DD490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Баранова Оксана</cp:lastModifiedBy>
  <cp:revision>19</cp:revision>
  <cp:lastPrinted>2016-11-30T06:44:00Z</cp:lastPrinted>
  <dcterms:created xsi:type="dcterms:W3CDTF">2016-10-19T11:53:00Z</dcterms:created>
  <dcterms:modified xsi:type="dcterms:W3CDTF">2016-12-05T08:49:00Z</dcterms:modified>
</cp:coreProperties>
</file>