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F" w:rsidRDefault="00C4517A" w:rsidP="00621EB4">
      <w:pPr>
        <w:spacing w:after="0"/>
        <w:ind w:left="11199" w:hanging="11199"/>
        <w:jc w:val="center"/>
        <w:rPr>
          <w:rFonts w:ascii="Times New Roman" w:hAnsi="Times New Roman" w:cs="Times New Roman"/>
          <w:sz w:val="24"/>
          <w:szCs w:val="24"/>
        </w:rPr>
      </w:pPr>
      <w:r w:rsidRPr="00C45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1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24EA" w:rsidRPr="007224EA" w:rsidRDefault="003C2F2C" w:rsidP="008B0912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621EB4">
        <w:rPr>
          <w:rFonts w:ascii="Times New Roman" w:hAnsi="Times New Roman" w:cs="Times New Roman"/>
          <w:sz w:val="24"/>
          <w:szCs w:val="24"/>
        </w:rPr>
        <w:t xml:space="preserve"> </w:t>
      </w:r>
      <w:r w:rsidR="007224EA" w:rsidRPr="007224EA">
        <w:rPr>
          <w:rFonts w:ascii="Times New Roman" w:hAnsi="Times New Roman" w:cs="Times New Roman"/>
          <w:sz w:val="24"/>
          <w:szCs w:val="24"/>
        </w:rPr>
        <w:t>План</w:t>
      </w:r>
      <w:r w:rsidR="00621EB4">
        <w:rPr>
          <w:rFonts w:ascii="Times New Roman" w:hAnsi="Times New Roman" w:cs="Times New Roman"/>
          <w:sz w:val="24"/>
          <w:szCs w:val="24"/>
        </w:rPr>
        <w:t>а</w:t>
      </w:r>
      <w:r w:rsidR="007224EA" w:rsidRPr="007224EA">
        <w:rPr>
          <w:rFonts w:ascii="Times New Roman" w:hAnsi="Times New Roman" w:cs="Times New Roman"/>
          <w:sz w:val="24"/>
          <w:szCs w:val="24"/>
        </w:rPr>
        <w:t xml:space="preserve"> первоочередных мероприятий</w:t>
      </w:r>
    </w:p>
    <w:p w:rsidR="007224EA" w:rsidRPr="007224EA" w:rsidRDefault="007224EA" w:rsidP="008B0912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24E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3C2F2C" w:rsidRDefault="00621EB4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2B0A9F">
        <w:rPr>
          <w:rFonts w:ascii="Times New Roman" w:hAnsi="Times New Roman" w:cs="Times New Roman"/>
          <w:sz w:val="24"/>
          <w:szCs w:val="24"/>
        </w:rPr>
        <w:t xml:space="preserve"> </w:t>
      </w:r>
      <w:r w:rsidR="00CC4DE7">
        <w:rPr>
          <w:rFonts w:ascii="Times New Roman" w:hAnsi="Times New Roman" w:cs="Times New Roman"/>
          <w:sz w:val="24"/>
          <w:szCs w:val="24"/>
        </w:rPr>
        <w:t>2019 год</w:t>
      </w:r>
      <w:r w:rsidR="003C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4EA" w:rsidRDefault="003C2F2C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Саткинского муниципального района от 29.05.20</w:t>
      </w:r>
      <w:r w:rsidR="00376C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9г.№365)</w:t>
      </w:r>
    </w:p>
    <w:p w:rsidR="001D2E50" w:rsidRDefault="001D2E50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421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4231"/>
        <w:gridCol w:w="4536"/>
      </w:tblGrid>
      <w:tr w:rsidR="00621EB4" w:rsidRPr="001D2E50" w:rsidTr="00376C4A">
        <w:tc>
          <w:tcPr>
            <w:tcW w:w="654" w:type="dxa"/>
          </w:tcPr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1" w:type="dxa"/>
          </w:tcPr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536" w:type="dxa"/>
          </w:tcPr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1EB4" w:rsidRPr="001D2E50" w:rsidRDefault="00621EB4" w:rsidP="00621E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мероприятия по состоянию</w:t>
            </w:r>
          </w:p>
          <w:p w:rsidR="00621EB4" w:rsidRPr="001D2E50" w:rsidRDefault="00621EB4" w:rsidP="00621E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AB31DA" w:rsidRPr="001D2E50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Активизация экономического роста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AB31DA" w:rsidRPr="001D2E50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Стабилизационные меры</w:t>
            </w:r>
          </w:p>
        </w:tc>
      </w:tr>
      <w:tr w:rsidR="00224935" w:rsidRPr="001D2E50" w:rsidTr="00376C4A">
        <w:tc>
          <w:tcPr>
            <w:tcW w:w="654" w:type="dxa"/>
          </w:tcPr>
          <w:p w:rsidR="00224935" w:rsidRPr="001D2E50" w:rsidRDefault="00224935" w:rsidP="00C136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31" w:type="dxa"/>
          </w:tcPr>
          <w:p w:rsidR="00224935" w:rsidRPr="001D2E50" w:rsidRDefault="00224935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(в пределах компетенции КЭ) финансово-экономического положения системообразующих организаций Саткинского муниципального района </w:t>
            </w:r>
          </w:p>
        </w:tc>
        <w:tc>
          <w:tcPr>
            <w:tcW w:w="4536" w:type="dxa"/>
          </w:tcPr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Основные показатели градообразующих организаций моногорода Сатка за 1 полугодие 2019 года: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1) ПАО «Комбинат «Магнезит»: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-среднесписочная численность – 2 764 человек, темп роста – 98,7 %;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-среднемесячная заработная плата работников – 31 901,8 руб., темп роста -110,5%;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-индекс промышленного производства -94,5 %;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-объем отгруженных товаров собственного производства, выполненных работ и услуг собственными силами по «чистым» видам деятельности – 3 667,4 млн. рублей, темп роста -116,8%;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-степень загрузки производственных мощностей -92,2%.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2) ООО «Группа «Магнезит»: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среднесписочная численность –1 646 человек, темп роста – 98,0 %;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-среднемесячная заработная плата работников – 36 999,2 руб., темп роста -117,3 %;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-индекс промышленного производства – 109,4%;</w:t>
            </w:r>
          </w:p>
          <w:p w:rsidR="00224935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-объем отгруженных товаров собственного производства, выполненных работ и услуг собственными силами по «чистым» видам деятельности – 12 804,7 млн. рублей, темп роста -112,6 %;</w:t>
            </w:r>
          </w:p>
        </w:tc>
      </w:tr>
      <w:tr w:rsidR="00C32384" w:rsidRPr="001D2E50" w:rsidTr="00376C4A">
        <w:tc>
          <w:tcPr>
            <w:tcW w:w="654" w:type="dxa"/>
          </w:tcPr>
          <w:p w:rsidR="00C32384" w:rsidRPr="001D2E50" w:rsidRDefault="00C323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31" w:type="dxa"/>
          </w:tcPr>
          <w:p w:rsidR="00C32384" w:rsidRPr="001D2E50" w:rsidRDefault="00C32384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реализации инвестиционных проектов резидентов ТОСЭР в г.Бакал</w:t>
            </w:r>
          </w:p>
        </w:tc>
        <w:tc>
          <w:tcPr>
            <w:tcW w:w="4536" w:type="dxa"/>
          </w:tcPr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На территории опережающего социально-экономическое развитие (ТОСЭР) в моногороде Бакал официально зарегистрированы 5 резидентов: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«Легпром;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«Урал-рециклинг»;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«Абсолют дробсервис»;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«А-Спорт»;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«Вершина».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Текущее состояние проектов: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 ООО «Легпром»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Инвестиционный проект: «Организация швейного производства и изготовление пластиковых кейсов для нужд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Министерства обороны РФ»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2017-2021 гг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593,0 млн.руб.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142,0 млн.руб.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250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г. – 202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2. ООО «Урал – рециклинг» 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«Создание опытного завода по переработке отходов металлургического производства (замасленной окалины и Fe-Zn содержащей пыли ДСП) в гранулированный чугун и оксид цинка»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2018-2019 гг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508,34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6,85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60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г. – 20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 ООО «Абсолют дробсервис»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«Освоение месторождения кварцитов Бакальской группы»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2018-2022 гг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153,7 млн.руб.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0,0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28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01.07.2019 г. – 1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4. ООО «А-Спорт»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«Производство уличных игровых комплексов»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 г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5,20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 -1,20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23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– 16 ед.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5. ООО «Вершина»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2018-2021 г.г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18 376,00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0,56 млн. руб.</w:t>
            </w:r>
          </w:p>
          <w:p w:rsidR="002745A5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364 ед.</w:t>
            </w:r>
          </w:p>
          <w:p w:rsidR="00C32384" w:rsidRPr="001D2E50" w:rsidRDefault="002745A5" w:rsidP="002745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01.07.2019 г. – 1 ед.</w:t>
            </w:r>
          </w:p>
        </w:tc>
      </w:tr>
      <w:tr w:rsidR="00224935" w:rsidRPr="001D2E50" w:rsidTr="00376C4A">
        <w:tc>
          <w:tcPr>
            <w:tcW w:w="654" w:type="dxa"/>
          </w:tcPr>
          <w:p w:rsidR="00224935" w:rsidRPr="001D2E50" w:rsidRDefault="002249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231" w:type="dxa"/>
          </w:tcPr>
          <w:p w:rsidR="00224935" w:rsidRPr="001D2E50" w:rsidRDefault="00224935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4536" w:type="dxa"/>
          </w:tcPr>
          <w:p w:rsidR="002745A5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Проведена актуализация перечня свободных участков и промышленных площадок Саткинского муниципального района на 01.07.2019 года.</w:t>
            </w:r>
          </w:p>
          <w:p w:rsidR="002745A5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Саткинского муниципального района расположены: </w:t>
            </w:r>
          </w:p>
          <w:p w:rsidR="002745A5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Бакальском городском поселении 8 промышленных площадок); 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- 16 земельных участков (в т.ч. </w:t>
            </w:r>
            <w:r w:rsidR="001D2E5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Саткинском городском поселении – 1,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Бакальском городском поселении – 7,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Межевом городском поселение – 2, 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Айлинском сельском поселении – 4, </w:t>
            </w:r>
          </w:p>
          <w:p w:rsidR="001D2E50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Сулеинском городском поселение – 1, </w:t>
            </w:r>
          </w:p>
          <w:p w:rsidR="00224935" w:rsidRPr="001D2E50" w:rsidRDefault="002745A5" w:rsidP="002745A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Романовском городском поселении - 1) пригодных для организации бизнеса.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Обеспечение поступления:</w:t>
            </w:r>
          </w:p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 консолидированный бюджет Саткинского муниципального района неналоговых доходов от управления земельными участками;</w:t>
            </w:r>
          </w:p>
          <w:p w:rsidR="00DF4CAE" w:rsidRPr="001D2E50" w:rsidRDefault="00DF4CAE" w:rsidP="004668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 бюджет Саткинского муниципального района неналоговых доходов от управления муниципальным имуществом.</w:t>
            </w:r>
          </w:p>
        </w:tc>
        <w:tc>
          <w:tcPr>
            <w:tcW w:w="4536" w:type="dxa"/>
          </w:tcPr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Сумма неналоговых доходов, поступившая в консолидированный бюджет Саткинского муниципального района составила-53,3 млн. рублей:</w:t>
            </w:r>
          </w:p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-доходы, получаемые в виде арендной платы за земельные участки, государственная собственность на которые не разграничена -48,7 млн. рублей;</w:t>
            </w:r>
          </w:p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-доходы от сдачи в аренду имущества, находящегося в собственности муниципального района-4,6 млн. рублей.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4536" w:type="dxa"/>
          </w:tcPr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7A74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прогнозного плана (программы) приватизации имущества, находящегося в собственности Саткинского муниципального района на 2019-2021 годы, а также обеспечение поступления в бюджет Саткинского муниципального района неналоговых доходов от продажи в рассрочку муниципального имущества </w:t>
            </w:r>
          </w:p>
        </w:tc>
        <w:tc>
          <w:tcPr>
            <w:tcW w:w="4536" w:type="dxa"/>
          </w:tcPr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Сумма доходов от реализации иного имущества, находящегося в собственности муниципального района составила 4,0 млн. рублей</w:t>
            </w:r>
          </w:p>
        </w:tc>
      </w:tr>
      <w:tr w:rsidR="00C47D81" w:rsidRPr="001D2E50" w:rsidTr="00376C4A">
        <w:tc>
          <w:tcPr>
            <w:tcW w:w="654" w:type="dxa"/>
          </w:tcPr>
          <w:p w:rsidR="00C47D8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C47D81" w:rsidRPr="001D2E50" w:rsidRDefault="00C47D81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лимитов бюджетных обязательств с учетом приоритетности расходов и ожидаемого поступления доходов </w:t>
            </w:r>
          </w:p>
        </w:tc>
        <w:tc>
          <w:tcPr>
            <w:tcW w:w="4536" w:type="dxa"/>
          </w:tcPr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соответствии пунктом 16 решения Собрания депутатов Саткинского муниципального района от 26.12.2018 № 397/51 «О районном бюджете на 2019 год и на плановый период 2020 и 2021 годов» доведение лимитов бюджетных обязательств на 2019 год и финансирование расходов в 2019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оплата труда и начисления на оплату груда, выплаты социального характера;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оплата коммунальных услуг и услуг связи, арендной платы за пользование помещениями, арендуемыми казенными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учреждениями, услуги в области информационных технологий;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исполнение публичных нормативных обязательств;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)</w:t>
            </w:r>
            <w:r w:rsidRPr="001D2E5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приобретение продуктов питания и оплата услуг по организации питания, горюче-смазочных материалов для учреждений Саткинского муниципального района;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предоставление мер социальной поддержки отдельным категориям граждан;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6)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уплата казенными учреждениями налогов и сборов в бюджеты бюджетной системы Российской Федерации;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7)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оплата транспортных услуг, работы по содержанию имущества казенных учреждений (по обязательным договорам постоянного характера);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8)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муниципальным контрактам(договорам) 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выполнение работ (оказание услуг, поставку товара) на обеспечение деятельности органов местного самоуправления и муниципальных казенных учреждений. </w:t>
            </w:r>
          </w:p>
          <w:p w:rsidR="00ED54DC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9)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предоставление субсидий </w:t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>социально-ориентированным некоммерческим организациям.</w:t>
            </w:r>
          </w:p>
          <w:p w:rsidR="00ED54DC" w:rsidRPr="001D2E50" w:rsidRDefault="00C47D81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Доведение лимитов бюджетных обязательств осуществляется в размере одной четвертой годового о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бъема бюджетных ассигнований на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работ);</w:t>
            </w:r>
          </w:p>
          <w:p w:rsidR="00A204D6" w:rsidRPr="001D2E50" w:rsidRDefault="00A204D6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  Доведение лимитов бюджетных обязательств на предоставление бюджетам поселений дотаций.</w:t>
            </w:r>
          </w:p>
          <w:p w:rsidR="00C47D81" w:rsidRPr="001D2E50" w:rsidRDefault="00ED54DC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Доведение лимитов бюджетных обязательств 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2019 году и финансирование расходов в 2019 году (в том числе 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заявок на оплату расходов) в части межбюджетных трансфертов из бюджетов других уровней бюджетной системы осуществляется в соответствии с доведенными лимитами бюджетных обязательств с других </w:t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уровней бюджетов, за исключением субсидий из областного бюджета на частичное финансирование расходов на выплату заработной платы работников органов местного самоуправления и муниципальных учреждений, оплату топливно- энергетических ресурсов, услуг водоснабжения, водоотведения, </w:t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потребляемых муниципальными учреждениями.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     По иным направлениям расходов, доведение лимитов бюджетны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х обязательств осуществляется в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соответствии с распоряжениями Администрации Саткинского муниципального района.</w:t>
            </w:r>
          </w:p>
          <w:p w:rsidR="00C47D81" w:rsidRPr="001D2E50" w:rsidRDefault="00C47D81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За 1 полугодие 2019 года доля доведенных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лимитов бюджетных обязательств по собстве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нным полномочиям составляет 73,2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% от утвержденных бюджетных назначений.</w:t>
            </w:r>
          </w:p>
        </w:tc>
      </w:tr>
      <w:tr w:rsidR="003038C2" w:rsidRPr="001D2E50" w:rsidTr="00376C4A">
        <w:tc>
          <w:tcPr>
            <w:tcW w:w="654" w:type="dxa"/>
          </w:tcPr>
          <w:p w:rsidR="003038C2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3038C2" w:rsidRPr="001D2E50" w:rsidRDefault="003038C2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4536" w:type="dxa"/>
          </w:tcPr>
          <w:p w:rsidR="003038C2" w:rsidRPr="001D2E50" w:rsidRDefault="00CE7867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района. По итогам полугодия 2019 года в районный бюджет поступило налоговых и неналоговых доходов 61,7% к годовым бюджетным назначениям.</w:t>
            </w:r>
          </w:p>
          <w:p w:rsidR="003038C2" w:rsidRPr="001D2E50" w:rsidRDefault="003038C2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Рост платежей за 1 полугодие 2019 года по сравнению с аналогичным периодом 2018 года наблюдается по таким крупным налогоплательщикам, как ПАО "Комбинат "Магнезит" на 20,8%; ООО "Группа "Магнезит" в 2,4 раза; ООО "Магнезит Монтаж Сервис" на 24,5%; ООО «ПНК- Урал» на 79,9%.</w:t>
            </w:r>
          </w:p>
          <w:p w:rsidR="003038C2" w:rsidRPr="001D2E50" w:rsidRDefault="003038C2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Снижение платежей произошло: ООО «БРУ» на 84%; ООО «Саткинский щебзавод» на 79,6%; ЗАО «СДРСУ» на 19,38%; ООО «НПО Зюраткуль» на 9,4%.</w:t>
            </w:r>
          </w:p>
        </w:tc>
      </w:tr>
      <w:tr w:rsidR="00F6098F" w:rsidRPr="001D2E50" w:rsidTr="00376C4A">
        <w:tc>
          <w:tcPr>
            <w:tcW w:w="654" w:type="dxa"/>
          </w:tcPr>
          <w:p w:rsidR="00F6098F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F6098F" w:rsidRPr="001D2E50" w:rsidRDefault="00F6098F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уточнение прогноза доходов бюджета Саткинского муниципального района на 2019 год исходя из текущей и прогнозируемой ситуации </w:t>
            </w:r>
          </w:p>
        </w:tc>
        <w:tc>
          <w:tcPr>
            <w:tcW w:w="4536" w:type="dxa"/>
          </w:tcPr>
          <w:p w:rsidR="00F6098F" w:rsidRPr="001D2E50" w:rsidRDefault="00CE7867" w:rsidP="00F6098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По итогам первого полугодия 2019 года объем поступлений налоговых и неналоговых доходов в бюджет Саткинского муниципального района превышает прогнозируемый, в связи с этим оперативное уточнение прогноза доходов бюджета Саткинского муниципального района в течении 6 месяцев 2019 года не производилось.</w:t>
            </w:r>
          </w:p>
        </w:tc>
      </w:tr>
      <w:tr w:rsidR="00F6098F" w:rsidRPr="001D2E50" w:rsidTr="00376C4A">
        <w:tc>
          <w:tcPr>
            <w:tcW w:w="654" w:type="dxa"/>
          </w:tcPr>
          <w:p w:rsidR="00F6098F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F6098F" w:rsidRPr="001D2E50" w:rsidRDefault="00F6098F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реализации Плана по созданию новых рабочих мест на территории Саткинского муниципального района в 2019 году (постановление Администрации Саткинского муниципального района «О создании новых рабочих мест на территории Саткинского муниципального района на 2019 год» от 25.03.2019 № 182) </w:t>
            </w:r>
          </w:p>
        </w:tc>
        <w:tc>
          <w:tcPr>
            <w:tcW w:w="4536" w:type="dxa"/>
          </w:tcPr>
          <w:p w:rsidR="00CE7867" w:rsidRPr="001D2E50" w:rsidRDefault="00CE7867" w:rsidP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За первое полугодие 2019 года в в Саткинском муниципальном районе создано:</w:t>
            </w:r>
          </w:p>
          <w:p w:rsidR="00CE7867" w:rsidRPr="001D2E50" w:rsidRDefault="00552452" w:rsidP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147единиц постоянных рабочих мест, на которых работают 145 человек, </w:t>
            </w:r>
          </w:p>
          <w:p w:rsidR="00552452" w:rsidRPr="001D2E50" w:rsidRDefault="00F6098F" w:rsidP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т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>ом числе высокопроизводительных 2 единицы на АО «СЧПЗ»</w:t>
            </w:r>
            <w:r w:rsidR="0055245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работают 2 человека;</w:t>
            </w:r>
          </w:p>
          <w:p w:rsidR="00552452" w:rsidRPr="001D2E50" w:rsidRDefault="00552452" w:rsidP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- 96 единиц временных рабочих мест, трудоустроено 126 человек. 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1.2 Поддержка малого и среднего предпринимательства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II.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Поддержка отраслей экономики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2.1Сельское хозяйство</w:t>
            </w:r>
          </w:p>
        </w:tc>
      </w:tr>
      <w:tr w:rsidR="00071F8B" w:rsidRPr="001D2E50" w:rsidTr="00376C4A">
        <w:tc>
          <w:tcPr>
            <w:tcW w:w="654" w:type="dxa"/>
          </w:tcPr>
          <w:p w:rsidR="00071F8B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71F8B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071F8B" w:rsidRPr="001D2E50" w:rsidRDefault="00071F8B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Проведение сезонных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сельскохозяйственных ярмарок («выходного дня», тематических)</w:t>
            </w:r>
          </w:p>
          <w:p w:rsidR="00071F8B" w:rsidRPr="001D2E50" w:rsidRDefault="00071F8B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auto"/>
          </w:tcPr>
          <w:p w:rsidR="00C77053" w:rsidRPr="001D2E50" w:rsidRDefault="001D2E50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</w:t>
            </w:r>
            <w:r w:rsidR="00C7705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4 универсальные ярмарки: </w:t>
            </w:r>
            <w:r w:rsidR="00C77053"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«Широкая масленица», «Родительский день», </w:t>
            </w:r>
          </w:p>
          <w:p w:rsidR="00C77053" w:rsidRPr="001D2E50" w:rsidRDefault="00C77053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«8 Марта», «Выходной день».</w:t>
            </w:r>
          </w:p>
          <w:p w:rsidR="00C77053" w:rsidRPr="001D2E50" w:rsidRDefault="00C77053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60 специализированных сезонно-плодоовощных ярмарок (по реализации сельхозпродукции).</w:t>
            </w:r>
          </w:p>
          <w:p w:rsidR="00071F8B" w:rsidRPr="001D2E50" w:rsidRDefault="00C77053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34 специализированные ярмарки (по продаже непродовольственных товаров)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 Жилищное строительство и жилищно-коммунальное хозяйство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883501" w:rsidRPr="001D2E50" w:rsidRDefault="00883501" w:rsidP="004830E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III.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Обеспечение социальной стабильности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883501" w:rsidRPr="001D2E50" w:rsidRDefault="00883501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3.1 Содействие изменению структуры занятости</w:t>
            </w:r>
          </w:p>
        </w:tc>
      </w:tr>
      <w:tr w:rsidR="006D12C9" w:rsidRPr="001D2E50" w:rsidTr="00376C4A">
        <w:tc>
          <w:tcPr>
            <w:tcW w:w="654" w:type="dxa"/>
          </w:tcPr>
          <w:p w:rsidR="006D12C9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D12C9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области на 2015-2020 годы»</w:t>
            </w:r>
          </w:p>
        </w:tc>
        <w:tc>
          <w:tcPr>
            <w:tcW w:w="4536" w:type="dxa"/>
          </w:tcPr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Областным казенным учреждением «Центр занятости населения города Сатки»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 1 полугодие 2019 год проведено: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содействие гражданам в поиске работы - 401 человек, в том числе 243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безработных граждан;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временная занятость несовершеннолетних граждан в возрасте от 14 до 18 лет – 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чел.;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временное трудоустройство безработных граждан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в возрасте от 18 до 20 лет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имеющее среднее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профессиональное образование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>и ищущих работу в первые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– 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чел.;   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участие в общественных работ – 209 чел.;</w:t>
            </w:r>
          </w:p>
          <w:p w:rsidR="006D12C9" w:rsidRPr="001D2E50" w:rsidRDefault="006D12C9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-оказание профориентационных услуг – 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1228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3C2F2C" w:rsidRPr="001D2E50" w:rsidRDefault="003C2F2C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социальная адаптация безработных граждан- 157 чел.</w:t>
            </w:r>
          </w:p>
          <w:p w:rsidR="003C2F2C" w:rsidRPr="001D2E50" w:rsidRDefault="003C2F2C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-оказание государственных услуг по содействию самозанятости безработных граждан -45 чел.</w:t>
            </w:r>
          </w:p>
        </w:tc>
      </w:tr>
      <w:tr w:rsidR="006D12C9" w:rsidRPr="001D2E50" w:rsidTr="00376C4A">
        <w:tc>
          <w:tcPr>
            <w:tcW w:w="654" w:type="dxa"/>
          </w:tcPr>
          <w:p w:rsidR="006D12C9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D12C9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в 2019 году мероприятий подпрограмм: «Содействие занятости граждан,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трудоустройстве, в 2017-2020 годах»,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области на 2015-2020 годы», утвержденной постановлением Правительства Челябинской области от 19.11.2014 г. № 596-П (в ред. от 29.12.2017 г. №765-П):</w:t>
            </w:r>
          </w:p>
        </w:tc>
        <w:tc>
          <w:tcPr>
            <w:tcW w:w="4536" w:type="dxa"/>
          </w:tcPr>
          <w:p w:rsidR="006D12C9" w:rsidRPr="001D2E50" w:rsidRDefault="006D12C9" w:rsidP="00AB31DA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</w:pPr>
            <w:r w:rsidRPr="001D2E50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Областное казенное учреждение Центр занятости населения города Сатки</w:t>
            </w:r>
            <w:r w:rsidR="00F57540" w:rsidRPr="001D2E50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: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инвалидов -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граждан, освобожденных изучреждений исполняющих наказание в виде лишения свободы-1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в предпринимательстве безработным гражданам, проживающим в моногородах-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несовершеннолетних, находящихся в трудной жизне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нной ситуации, по заявкам ЦЗН- 0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ADE" w:rsidRPr="001D2E50" w:rsidTr="00376C4A">
        <w:trPr>
          <w:trHeight w:val="198"/>
        </w:trPr>
        <w:tc>
          <w:tcPr>
            <w:tcW w:w="9421" w:type="dxa"/>
            <w:gridSpan w:val="3"/>
          </w:tcPr>
          <w:p w:rsidR="00883501" w:rsidRPr="001D2E50" w:rsidRDefault="00883501" w:rsidP="00AB31DA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3.2 Социальная поддержка граждан</w:t>
            </w:r>
          </w:p>
        </w:tc>
      </w:tr>
      <w:tr w:rsidR="00621EB4" w:rsidRPr="001D2E50" w:rsidTr="00376C4A">
        <w:tc>
          <w:tcPr>
            <w:tcW w:w="654" w:type="dxa"/>
          </w:tcPr>
          <w:p w:rsidR="00621EB4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21EB4" w:rsidRPr="001D2E50" w:rsidRDefault="00621EB4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4536" w:type="dxa"/>
          </w:tcPr>
          <w:p w:rsidR="00621EB4" w:rsidRPr="001D2E50" w:rsidRDefault="001D2E50" w:rsidP="00CE15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защиты населения Администрации Саткинского муниципального района</w:t>
            </w:r>
            <w:r w:rsidR="00CE156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предоставляет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малоимущим гражданам субсидий на 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оплату жилых помещений и коммунальных услуг. </w:t>
            </w:r>
          </w:p>
          <w:p w:rsidR="00CE1563" w:rsidRPr="001D2E50" w:rsidRDefault="00CE1563" w:rsidP="00CE15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Получателями субсидий за 1 полугодие 2019 года являются 6 254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семьи сумма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субвенций выплаченных гражданам на предоставление государственной услуги составила 68 993 168,2 рублей.</w:t>
            </w:r>
          </w:p>
        </w:tc>
      </w:tr>
      <w:tr w:rsidR="008B5527" w:rsidRPr="001D2E50" w:rsidTr="00376C4A">
        <w:tc>
          <w:tcPr>
            <w:tcW w:w="654" w:type="dxa"/>
          </w:tcPr>
          <w:p w:rsidR="008B5527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8B5527" w:rsidRPr="001D2E50" w:rsidRDefault="008B5527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компенсационных, иных денежных выплат и других социальных пособий </w:t>
            </w:r>
          </w:p>
        </w:tc>
        <w:tc>
          <w:tcPr>
            <w:tcW w:w="4536" w:type="dxa"/>
          </w:tcPr>
          <w:p w:rsidR="008B5527" w:rsidRPr="001D2E50" w:rsidRDefault="001D2E50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Выплаты гражданам пособий и компенсаций производится своевременно в установленные сроки.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 1 полугодие выплаты произведены: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содержание ребенка в семье опекуна и приемной семье, а также вознаграждение, причи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тающиеся приемному родителю -208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19 916 675,44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 на оплату жилья и коммуналь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ных услуг многодетной семье -428 получателей на 3 425 212,9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0руб.;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есячное пособие на ребенка 4 148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олучателей на сумму 10 859 456,08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выплата, назначаемая в случае рождения третьего ребенка и (или) последующих детей до достижени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я ребенком возраста 3-х лет – 172 получателя на 8 735 004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,0рублей;</w:t>
            </w:r>
          </w:p>
          <w:p w:rsidR="00D9135D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и с ликвидацией организаций- 346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лучателей на сумму </w:t>
            </w:r>
          </w:p>
          <w:p w:rsidR="008B5527" w:rsidRPr="001D2E50" w:rsidRDefault="00D9135D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15 199 320,59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единовременного пособия при рождении ребенка-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сумму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1 112 176,66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областного единовременного пособия при рождении ребенка-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916 820,0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D9135D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выплата в связи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 рождением первого ребенка- 177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получатель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12 292 746,48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компенсационные выплаты за пользование услугами связи – 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2 получателя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5 370,0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ежемесячная денежная выплата Ветеранам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труда Челябинской области 3 697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20767657,44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ежемесячная денежная выплата ветеранам труда – 4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33 081 187,05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 сельск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им специалистам (пенсионеры)- 75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609 514,63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ежемесячная денежная выплата жер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твам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политических репрессий- 151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1 10 150,0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40547C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возмещение стоимости услуг на погребение жертв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политических репрессий –</w:t>
            </w:r>
          </w:p>
          <w:p w:rsidR="008B5527" w:rsidRPr="001D2E50" w:rsidRDefault="0040547C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26 390,0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возмещение стоимости проезда по междугороднему транспорту жер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твам политических репрессией- 1 получатель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сумму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8 245,25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ежемесячная денежная выплата Детям погибших участников ВОВ- 38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116 844,00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- 10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102 037,33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осуществление мер социально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й поддержки граждан, работающих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 проживающих в сельских населенных пунктах и рабоч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их поселках Челябинской области (пенсионеры) – 126 получателей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3 097 169,92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на оплату жилищно-коммунальных услуг отд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ельным категориям граждан – 5 500 получателей на 32 750 639,73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компенсация расходов на оплату взноса на капи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тальный ремонт общего имущества в многоквартирном доме – 2 190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3 559 150,10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возмещение стоимости услуг по погребению и выплата социального пособия на погребение -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520 000,00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по осуществлению ежегодной денежной выплаты лицам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, награжденным нагрудным знаком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«Почетный донор России» - 774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11 220 379,06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рублей; 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по предоставлению отдельных мер социальной поддержки гражданам, подвер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гшимся воздействию радиации – 94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583 375,8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 1 получателей 2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 900,00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B1042B" w:rsidRPr="001D2E50" w:rsidRDefault="00B1042B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единовременные выплаты на возмещение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расходов, связанных с приобретением и установкой спутникового оборудования, приобретение цифровой приставки и приемной антенны 11 получателей на сумму 10 924,40 рублей; 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выплата пенсии за выслугу лет лицам, замещающим муниципальный должности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(СМР)– 46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3 181 520,31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рублей: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выплата пенсии за выслугу лет лицам, замещающим муниципальный должности (ГП) -  5 получателей 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313 053,96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 выплата доплат к страховой пенсии по старости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290 349,34рублей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на услуги по погребению почетного гражданина Саткинского муниципального района – 1 получатель на 28 104,00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почетным гражданам Саткинского муниципального района-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0 получателей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4B2E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почетным гражданам Саткинского городского поселения –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рублей.</w:t>
            </w:r>
          </w:p>
        </w:tc>
      </w:tr>
      <w:tr w:rsidR="004B2E91" w:rsidRPr="001D2E50" w:rsidTr="00376C4A">
        <w:tc>
          <w:tcPr>
            <w:tcW w:w="654" w:type="dxa"/>
          </w:tcPr>
          <w:p w:rsidR="004B2E9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4B2E91" w:rsidRPr="001D2E50" w:rsidRDefault="004B2E91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«Социальная поддержка и социальное обслуживание отдельных категорий граждан Саткинского муниципального района» на 2019-2021 годы</w:t>
            </w:r>
          </w:p>
        </w:tc>
        <w:tc>
          <w:tcPr>
            <w:tcW w:w="4536" w:type="dxa"/>
          </w:tcPr>
          <w:p w:rsidR="004B2E91" w:rsidRPr="001D2E50" w:rsidRDefault="00552452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С целью оказания адресной социальной помощи гражданам, оказавшимся в ТЖС проведено обследование и оформлены акты жилищно-бытовых условий на 76 граждан (семей), за счет средств муниципального бюджета в рамках программы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«Социальная поддержка и социальное обслуживание отдельных категорий граждан Саткинского муниципального района» на 2019-2021 годы за 1 полугодие 2019 года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единовременн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ое социальное пособие получили 56 гражданин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(семьи) на сумму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177 200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4B2E91" w:rsidRPr="001D2E50" w:rsidRDefault="00AC6367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программу «Здоровые дети» на 2019-2021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годы единовременное социальное пособие </w:t>
            </w:r>
          </w:p>
          <w:p w:rsidR="004B2E91" w:rsidRPr="001D2E50" w:rsidRDefault="00AC6367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выплачено 4-м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семьям, воспитывающим детей- инвалидов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 детей страдающих тяжелой формой заболевания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общую сумму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40 000 рублей.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обследование и направлены акты жилищно-бытовых условий в Министерство социальных отношений Челябинской области на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гражданина (семей), за счет средств областного бюджета, выделе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но единовременное пособие на 66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человекам (семьям) на сумму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566 000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рублей: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состоялось чествование ветеранов ВОВ - юбиляров 90;95 лет,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непосредственно в день рождения, с вручением денежных выплат –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 чествование ветеранов ВОВ, посвященное социально значимым датам с вручением денежных выплат –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консультативная помощь представлена –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экстренная помощь продуктовыми наборами оказана -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-через социальный пункт проката техническими средствами реабилитации обеспечено -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вещами бывших в употреблении обеспечены – 232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услугами «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Соц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иальное такси» воспользовались 24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-с начала текущего года услугами мобильной социальной службы (МСС)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воспользовались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1 человек, совершено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выездов на отдельные территории Саткинского муниципального района;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приглашение на бесплатное горячее питание выданы 2 695 человек;</w:t>
            </w:r>
          </w:p>
          <w:p w:rsidR="004B2E91" w:rsidRPr="001D2E50" w:rsidRDefault="0026625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Отделением помощи семьи и детям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МБУ «Комплексный центр» проведена следующая работа: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осуществлено 822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патроната по семьям, находившимся в социально опасном положении, и семьям группы риска;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-выделено социальное пособие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 (семьям) на сумму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47 500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кстренная помощь продуктами питания оказана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семьям и гигиенические наборы для детей первого года жизни выданы –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емьям, состоящие в базе данных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Программы.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атуральная помощь в виде вещей, бывших в употреблении, предоставлена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9 семьям.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рамках реализации программы «Социальное обслуживание населения Саткинского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 на 2019 -2021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годы   выполнение муниципального задания МБУ «Комплексный центр социально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го обслуживания населения» за 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месяцев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 с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чет средств областного бюджета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составило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16 374,5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рублей.</w:t>
            </w:r>
          </w:p>
        </w:tc>
      </w:tr>
      <w:tr w:rsidR="00621EB4" w:rsidRPr="001D2E50" w:rsidTr="00376C4A">
        <w:tc>
          <w:tcPr>
            <w:tcW w:w="654" w:type="dxa"/>
          </w:tcPr>
          <w:p w:rsidR="00621EB4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21EB4" w:rsidRPr="001D2E50" w:rsidRDefault="00621EB4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по оказанию государственных и муниципальных услуг в Саткинском муниципальном района.</w:t>
            </w:r>
          </w:p>
        </w:tc>
        <w:tc>
          <w:tcPr>
            <w:tcW w:w="4536" w:type="dxa"/>
          </w:tcPr>
          <w:p w:rsidR="00621EB4" w:rsidRPr="001D2E50" w:rsidRDefault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Муниципальное автономное учреждение «Многофункциональный центр по оказанию государственных и муниципальных услуг» Саткинского муниципального района</w:t>
            </w:r>
          </w:p>
          <w:p w:rsidR="00621EB4" w:rsidRPr="001D2E50" w:rsidRDefault="00621EB4" w:rsidP="00621E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оказывает 146 услуг из них: 92 – государственные услуги, 11 муниципальные и 43 федеральные.</w:t>
            </w:r>
          </w:p>
          <w:p w:rsidR="00621EB4" w:rsidRPr="001D2E50" w:rsidRDefault="00621EB4" w:rsidP="001D2E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За 1 полугодие 2019 года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Многофункциональный центр по оказанию государственных и муниципальных услуг Саткинского муниципального района принял 31 393 заявителя.</w:t>
            </w:r>
          </w:p>
        </w:tc>
      </w:tr>
      <w:tr w:rsidR="000143BC" w:rsidRPr="001D2E50" w:rsidTr="00376C4A">
        <w:tc>
          <w:tcPr>
            <w:tcW w:w="654" w:type="dxa"/>
          </w:tcPr>
          <w:p w:rsidR="000143BC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FC5AD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Реализация муниципальной программы «Образование» в Саткинском муниципальном районе на 2019-2021 годы</w:t>
            </w:r>
          </w:p>
        </w:tc>
        <w:tc>
          <w:tcPr>
            <w:tcW w:w="4536" w:type="dxa"/>
          </w:tcPr>
          <w:p w:rsidR="000143BC" w:rsidRPr="001D2E50" w:rsidRDefault="00CE7867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За первое 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полугодие 2019 года выполнены индикативные показатели: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-коэффициент посещаемости воспитанниками дошкольных образовательных учреждений -33%;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-заболеваемость в расчете на одного ребенка-4,6%;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-охват учащихся программ начальной, основной и средней (полной) школы -50%;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учащиеся по программам начальной основной и средней (полной) школы, оставшиеся на второй год-0,2%;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функционирование МКУ ДОД «ДООЦ Барабанщик» -да;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охват учащихся, нуждающихся в длительном лечении, программами начальной и основной школы- 54%;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учащиеся, нуждающихся в длительное лечении, оставшиеся на второй год- 0,2%;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-охват учащихся программами специального (коррекционного) образования начальной и основной школы -50%;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-удовлетворенность населения качеством диагностики и консультирование- 35%;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-уровень выполнения образовательных программ и воспитательных систем по итогам учебного года-  50%;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уровень укомплектованности учреждениями кадрами- 50%;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-уровень выполнения программы оздоровления и отдыха детей -100%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FC5A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266251" w:rsidRPr="001D2E50" w:rsidTr="00376C4A">
        <w:tc>
          <w:tcPr>
            <w:tcW w:w="654" w:type="dxa"/>
          </w:tcPr>
          <w:p w:rsidR="0026625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266251" w:rsidRPr="001D2E50" w:rsidRDefault="00266251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«Здоровые дети» на 2019-2021 годы</w:t>
            </w:r>
          </w:p>
          <w:p w:rsidR="00266251" w:rsidRPr="001D2E50" w:rsidRDefault="00266251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266251" w:rsidRPr="001D2E50" w:rsidRDefault="001D2E50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защиты населения Администрации Саткинского муниципального района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МКУ «Управление образования»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объема и повышение качества предоставления социально- медицинских услуг детям, улучшение качества жизни детей- инвалидов и детей с ограниченными возможностями здоровья. 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рамках выполнения мероприятий муниципальной программы «Здоровые 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дети» за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1 полугодие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2019 года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103 ребенка второго года жизни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из малообеспечен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>ных семей получают молоко (1 748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литров) бесплатно.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>за счет средств программы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4 детям - инвалидам страдающих сахарным диабетом оказана помощь на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тест-полоски и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глейкометры на сумму 15 000 рублей</w:t>
            </w:r>
          </w:p>
        </w:tc>
      </w:tr>
      <w:tr w:rsidR="003C2F2C" w:rsidRPr="001D2E50" w:rsidTr="00376C4A">
        <w:tc>
          <w:tcPr>
            <w:tcW w:w="654" w:type="dxa"/>
          </w:tcPr>
          <w:p w:rsidR="003C2F2C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3C2F2C" w:rsidRPr="001D2E50" w:rsidRDefault="003C2F2C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«Развитие физической культуры и спорта в Саткинском муниципальном районе на 2019-2021 годы»</w:t>
            </w:r>
          </w:p>
        </w:tc>
        <w:tc>
          <w:tcPr>
            <w:tcW w:w="4536" w:type="dxa"/>
          </w:tcPr>
          <w:p w:rsidR="003C2F2C" w:rsidRPr="001D2E50" w:rsidRDefault="003C2F2C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За первое полугодие 2019 года индикативные показатели достигли следующих значений:</w:t>
            </w:r>
          </w:p>
          <w:p w:rsidR="003C2F2C" w:rsidRPr="001D2E50" w:rsidRDefault="003C2F2C" w:rsidP="003C2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доля граждан, занимающихся физической культуры и спортом по месту работы, в общей численности населения</w:t>
            </w:r>
            <w:r w:rsidR="00F41ACB" w:rsidRPr="001D2E5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занятого в экономике Саткинского муниципального района </w:t>
            </w:r>
            <w:r w:rsidR="00F41ACB" w:rsidRPr="001D2E50">
              <w:rPr>
                <w:rFonts w:ascii="Times New Roman" w:hAnsi="Times New Roman" w:cs="Times New Roman"/>
                <w:sz w:val="23"/>
                <w:szCs w:val="23"/>
              </w:rPr>
              <w:t>– 9%;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доля лиц с ограниченными возможностями здоровья и инвалидов, 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занимающихся физической культурой и спортом, в общей численности населения данной категории Саткинского муниципального района - 4%;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обеспеченность населения Саткинского муниципального района спортивными сооружениями, исходя из пропускной способности объектов спорта – 9,5%;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 – 20%;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количество проведенных спортивно-массовых мероприятий и соревнований по видам спорта в Саткинском муниципальном районе 83 единиц;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доля жителей муниципального образования, принявших участие в спортивно-массовых мероприятиях и соревнования по видам спорта – 12,5%;</w:t>
            </w:r>
          </w:p>
          <w:p w:rsidR="00F41ACB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доля обучающихся и студентов, занимающихся физической культурой и спортом, в общей численности населения данной категории Саткинского муниципального района – 34,5%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C2F2C" w:rsidRPr="001D2E50" w:rsidRDefault="00F41ACB" w:rsidP="00F41A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-19 %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143BC" w:rsidRPr="001D2E50" w:rsidTr="00376C4A">
        <w:trPr>
          <w:trHeight w:val="1041"/>
        </w:trPr>
        <w:tc>
          <w:tcPr>
            <w:tcW w:w="654" w:type="dxa"/>
          </w:tcPr>
          <w:p w:rsidR="000143BC" w:rsidRPr="001D2E50" w:rsidRDefault="00F41ACB" w:rsidP="000143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</w:tc>
        <w:tc>
          <w:tcPr>
            <w:tcW w:w="4536" w:type="dxa"/>
          </w:tcPr>
          <w:p w:rsidR="000143BC" w:rsidRPr="001D2E50" w:rsidRDefault="00CE7867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143BC"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>Проведен мониторинг цен в аптечной сети, на жизненно-необходимые и важные лекарственные средства.</w:t>
            </w:r>
          </w:p>
          <w:p w:rsidR="000143BC" w:rsidRPr="001D2E50" w:rsidRDefault="000143BC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0143BC" w:rsidRPr="001D2E50" w:rsidTr="00376C4A">
        <w:tc>
          <w:tcPr>
            <w:tcW w:w="654" w:type="dxa"/>
          </w:tcPr>
          <w:p w:rsidR="000143BC" w:rsidRPr="001D2E50" w:rsidRDefault="00F41ACB" w:rsidP="000143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4536" w:type="dxa"/>
          </w:tcPr>
          <w:p w:rsidR="000143BC" w:rsidRPr="001D2E50" w:rsidRDefault="00CE7867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 мониторинг цен в магазинах социальной направленности, который показал минимальную торговую надбавку 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15% к отпускным ценам производителей (поставщиков)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FC5A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IV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.  Мониторинг и контроль ситуации в экономике и социальной сфере</w:t>
            </w:r>
          </w:p>
        </w:tc>
      </w:tr>
      <w:tr w:rsidR="001563E5" w:rsidRPr="001D2E50" w:rsidTr="00376C4A">
        <w:tc>
          <w:tcPr>
            <w:tcW w:w="654" w:type="dxa"/>
          </w:tcPr>
          <w:p w:rsidR="001563E5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1563E5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1563E5" w:rsidRPr="001D2E50" w:rsidRDefault="001563E5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4536" w:type="dxa"/>
          </w:tcPr>
          <w:p w:rsidR="001563E5" w:rsidRPr="001D2E50" w:rsidRDefault="00CE7867" w:rsidP="001563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563E5" w:rsidRPr="001D2E50">
              <w:rPr>
                <w:rFonts w:ascii="Times New Roman" w:hAnsi="Times New Roman" w:cs="Times New Roman"/>
                <w:sz w:val="23"/>
                <w:szCs w:val="23"/>
              </w:rPr>
              <w:t>По состоянию на 01.07.2019 просроченная задолженность по заработной плате предприятий (организаций), расположенных на территории района, отсутствует.</w:t>
            </w:r>
          </w:p>
          <w:p w:rsidR="001563E5" w:rsidRPr="001D2E50" w:rsidRDefault="001563E5" w:rsidP="001563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Ежемесячно результаты мониторинга направляются в Министерство экономического развития Челябинской области</w:t>
            </w:r>
          </w:p>
        </w:tc>
      </w:tr>
    </w:tbl>
    <w:p w:rsidR="00FC5ADE" w:rsidRDefault="00647A34" w:rsidP="00647A34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B3C1F" w:rsidRDefault="003B3C1F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D5" w:rsidRDefault="00043AD5" w:rsidP="000369EE">
      <w:pPr>
        <w:spacing w:after="0" w:line="240" w:lineRule="auto"/>
      </w:pPr>
      <w:r>
        <w:separator/>
      </w:r>
    </w:p>
  </w:endnote>
  <w:endnote w:type="continuationSeparator" w:id="0">
    <w:p w:rsidR="00043AD5" w:rsidRDefault="00043AD5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D5" w:rsidRDefault="00043AD5" w:rsidP="000369EE">
      <w:pPr>
        <w:spacing w:after="0" w:line="240" w:lineRule="auto"/>
      </w:pPr>
      <w:r>
        <w:separator/>
      </w:r>
    </w:p>
  </w:footnote>
  <w:footnote w:type="continuationSeparator" w:id="0">
    <w:p w:rsidR="00043AD5" w:rsidRDefault="00043AD5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43BC"/>
    <w:rsid w:val="000158A3"/>
    <w:rsid w:val="000218CA"/>
    <w:rsid w:val="00024728"/>
    <w:rsid w:val="00027242"/>
    <w:rsid w:val="000369EE"/>
    <w:rsid w:val="00041E08"/>
    <w:rsid w:val="00043AD5"/>
    <w:rsid w:val="00044B49"/>
    <w:rsid w:val="00054323"/>
    <w:rsid w:val="00062D2E"/>
    <w:rsid w:val="00065E6B"/>
    <w:rsid w:val="00071F8B"/>
    <w:rsid w:val="000722A7"/>
    <w:rsid w:val="0007306E"/>
    <w:rsid w:val="000745E7"/>
    <w:rsid w:val="000915EB"/>
    <w:rsid w:val="000C0D1C"/>
    <w:rsid w:val="001051C5"/>
    <w:rsid w:val="00106637"/>
    <w:rsid w:val="001404A3"/>
    <w:rsid w:val="001455C9"/>
    <w:rsid w:val="001465F1"/>
    <w:rsid w:val="001563E5"/>
    <w:rsid w:val="001748EE"/>
    <w:rsid w:val="0019506F"/>
    <w:rsid w:val="001D0BC0"/>
    <w:rsid w:val="001D0E69"/>
    <w:rsid w:val="001D2E50"/>
    <w:rsid w:val="001F0E9A"/>
    <w:rsid w:val="001F3BFD"/>
    <w:rsid w:val="00223EE8"/>
    <w:rsid w:val="00224935"/>
    <w:rsid w:val="002564BD"/>
    <w:rsid w:val="00266251"/>
    <w:rsid w:val="002745A5"/>
    <w:rsid w:val="0028599E"/>
    <w:rsid w:val="002A3E4B"/>
    <w:rsid w:val="002A5F4B"/>
    <w:rsid w:val="002B0A9F"/>
    <w:rsid w:val="002B2239"/>
    <w:rsid w:val="002B2E72"/>
    <w:rsid w:val="002C00F6"/>
    <w:rsid w:val="002C4DA8"/>
    <w:rsid w:val="002D3E76"/>
    <w:rsid w:val="002E4CBF"/>
    <w:rsid w:val="002E4E5B"/>
    <w:rsid w:val="002F51E5"/>
    <w:rsid w:val="002F5C46"/>
    <w:rsid w:val="00303294"/>
    <w:rsid w:val="003038C2"/>
    <w:rsid w:val="00304EA8"/>
    <w:rsid w:val="00310C9F"/>
    <w:rsid w:val="00312A1C"/>
    <w:rsid w:val="003142C4"/>
    <w:rsid w:val="003154FA"/>
    <w:rsid w:val="0037473C"/>
    <w:rsid w:val="00376C4A"/>
    <w:rsid w:val="00382ECF"/>
    <w:rsid w:val="00384613"/>
    <w:rsid w:val="00384F88"/>
    <w:rsid w:val="00385004"/>
    <w:rsid w:val="00394362"/>
    <w:rsid w:val="003A5CD7"/>
    <w:rsid w:val="003B1E30"/>
    <w:rsid w:val="003B3C1F"/>
    <w:rsid w:val="003C2F2C"/>
    <w:rsid w:val="003C48CC"/>
    <w:rsid w:val="003D509B"/>
    <w:rsid w:val="003F0F06"/>
    <w:rsid w:val="00403006"/>
    <w:rsid w:val="0040547C"/>
    <w:rsid w:val="0041065C"/>
    <w:rsid w:val="00437137"/>
    <w:rsid w:val="0044071E"/>
    <w:rsid w:val="00442063"/>
    <w:rsid w:val="00442CCA"/>
    <w:rsid w:val="004448D9"/>
    <w:rsid w:val="0045298C"/>
    <w:rsid w:val="00452E01"/>
    <w:rsid w:val="00455410"/>
    <w:rsid w:val="00456751"/>
    <w:rsid w:val="004668FA"/>
    <w:rsid w:val="004830E3"/>
    <w:rsid w:val="00484941"/>
    <w:rsid w:val="00485EE2"/>
    <w:rsid w:val="004B0AEF"/>
    <w:rsid w:val="004B2E91"/>
    <w:rsid w:val="004E7D96"/>
    <w:rsid w:val="004F471A"/>
    <w:rsid w:val="005077AA"/>
    <w:rsid w:val="00507A87"/>
    <w:rsid w:val="005253D9"/>
    <w:rsid w:val="00530BE0"/>
    <w:rsid w:val="005371B3"/>
    <w:rsid w:val="0054257D"/>
    <w:rsid w:val="00552452"/>
    <w:rsid w:val="005746F0"/>
    <w:rsid w:val="005814CC"/>
    <w:rsid w:val="00585576"/>
    <w:rsid w:val="005C0B6F"/>
    <w:rsid w:val="005F097E"/>
    <w:rsid w:val="005F2B66"/>
    <w:rsid w:val="0060595A"/>
    <w:rsid w:val="00621EB4"/>
    <w:rsid w:val="00634F52"/>
    <w:rsid w:val="00647A34"/>
    <w:rsid w:val="00666F0B"/>
    <w:rsid w:val="00680F93"/>
    <w:rsid w:val="006A4420"/>
    <w:rsid w:val="006A709E"/>
    <w:rsid w:val="006B449F"/>
    <w:rsid w:val="006B714D"/>
    <w:rsid w:val="006D12C9"/>
    <w:rsid w:val="006D6FE3"/>
    <w:rsid w:val="006E52F0"/>
    <w:rsid w:val="006F21D8"/>
    <w:rsid w:val="00716F99"/>
    <w:rsid w:val="007224EA"/>
    <w:rsid w:val="00735D92"/>
    <w:rsid w:val="00742326"/>
    <w:rsid w:val="00761C57"/>
    <w:rsid w:val="00770221"/>
    <w:rsid w:val="00775979"/>
    <w:rsid w:val="007A74BD"/>
    <w:rsid w:val="007F5629"/>
    <w:rsid w:val="008032A0"/>
    <w:rsid w:val="008058E5"/>
    <w:rsid w:val="00806ED7"/>
    <w:rsid w:val="00814005"/>
    <w:rsid w:val="00824B1C"/>
    <w:rsid w:val="00841741"/>
    <w:rsid w:val="00844DD7"/>
    <w:rsid w:val="00883501"/>
    <w:rsid w:val="00892321"/>
    <w:rsid w:val="00893DC0"/>
    <w:rsid w:val="008953B5"/>
    <w:rsid w:val="008B0912"/>
    <w:rsid w:val="008B2AE8"/>
    <w:rsid w:val="008B5341"/>
    <w:rsid w:val="008B5527"/>
    <w:rsid w:val="008C5E8E"/>
    <w:rsid w:val="008D4E5F"/>
    <w:rsid w:val="00910F8D"/>
    <w:rsid w:val="00945DDF"/>
    <w:rsid w:val="00966EAD"/>
    <w:rsid w:val="009B6EB5"/>
    <w:rsid w:val="009C036B"/>
    <w:rsid w:val="009C7DDD"/>
    <w:rsid w:val="009E1064"/>
    <w:rsid w:val="00A01C23"/>
    <w:rsid w:val="00A04487"/>
    <w:rsid w:val="00A10746"/>
    <w:rsid w:val="00A204D6"/>
    <w:rsid w:val="00A25DB3"/>
    <w:rsid w:val="00A34A74"/>
    <w:rsid w:val="00A53CF5"/>
    <w:rsid w:val="00A70096"/>
    <w:rsid w:val="00A73469"/>
    <w:rsid w:val="00A8070C"/>
    <w:rsid w:val="00A903DA"/>
    <w:rsid w:val="00AB01C5"/>
    <w:rsid w:val="00AB31DA"/>
    <w:rsid w:val="00AB56BC"/>
    <w:rsid w:val="00AC6367"/>
    <w:rsid w:val="00AD0362"/>
    <w:rsid w:val="00AD47AB"/>
    <w:rsid w:val="00B1042B"/>
    <w:rsid w:val="00B22B63"/>
    <w:rsid w:val="00B345F0"/>
    <w:rsid w:val="00B42845"/>
    <w:rsid w:val="00B62A1F"/>
    <w:rsid w:val="00B74D3C"/>
    <w:rsid w:val="00B83D71"/>
    <w:rsid w:val="00B9237A"/>
    <w:rsid w:val="00BD6762"/>
    <w:rsid w:val="00BE7593"/>
    <w:rsid w:val="00BE7A0B"/>
    <w:rsid w:val="00C00C2B"/>
    <w:rsid w:val="00C07105"/>
    <w:rsid w:val="00C13666"/>
    <w:rsid w:val="00C32384"/>
    <w:rsid w:val="00C43FE1"/>
    <w:rsid w:val="00C4517A"/>
    <w:rsid w:val="00C47D81"/>
    <w:rsid w:val="00C62772"/>
    <w:rsid w:val="00C77053"/>
    <w:rsid w:val="00CC4DE7"/>
    <w:rsid w:val="00CD247E"/>
    <w:rsid w:val="00CE1563"/>
    <w:rsid w:val="00CE7867"/>
    <w:rsid w:val="00CF66C4"/>
    <w:rsid w:val="00D21381"/>
    <w:rsid w:val="00D339A7"/>
    <w:rsid w:val="00D502EE"/>
    <w:rsid w:val="00D52E3A"/>
    <w:rsid w:val="00D8113B"/>
    <w:rsid w:val="00D9135D"/>
    <w:rsid w:val="00D92B2F"/>
    <w:rsid w:val="00DA6E8A"/>
    <w:rsid w:val="00DC1C9F"/>
    <w:rsid w:val="00DD04E3"/>
    <w:rsid w:val="00DF4CAE"/>
    <w:rsid w:val="00E06A70"/>
    <w:rsid w:val="00E111EE"/>
    <w:rsid w:val="00E20FD2"/>
    <w:rsid w:val="00E75372"/>
    <w:rsid w:val="00E90523"/>
    <w:rsid w:val="00E91599"/>
    <w:rsid w:val="00ED1823"/>
    <w:rsid w:val="00ED54DC"/>
    <w:rsid w:val="00F21F11"/>
    <w:rsid w:val="00F2340A"/>
    <w:rsid w:val="00F25674"/>
    <w:rsid w:val="00F344E4"/>
    <w:rsid w:val="00F41ACB"/>
    <w:rsid w:val="00F46C70"/>
    <w:rsid w:val="00F57540"/>
    <w:rsid w:val="00F6098F"/>
    <w:rsid w:val="00F6127A"/>
    <w:rsid w:val="00F62F33"/>
    <w:rsid w:val="00F72C39"/>
    <w:rsid w:val="00F8386F"/>
    <w:rsid w:val="00F94303"/>
    <w:rsid w:val="00FA7A8F"/>
    <w:rsid w:val="00FA7CBE"/>
    <w:rsid w:val="00FC5ADE"/>
    <w:rsid w:val="00FD6FC7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7AFC5-E092-4B2A-B2DF-1C518C1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3165-5BD4-4EE9-A2C7-0E527B5F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25</cp:revision>
  <cp:lastPrinted>2019-07-23T06:51:00Z</cp:lastPrinted>
  <dcterms:created xsi:type="dcterms:W3CDTF">2016-07-19T10:40:00Z</dcterms:created>
  <dcterms:modified xsi:type="dcterms:W3CDTF">2019-07-23T06:54:00Z</dcterms:modified>
</cp:coreProperties>
</file>