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BF" w:rsidRPr="008259E0" w:rsidRDefault="005908BF" w:rsidP="005908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59E0">
        <w:rPr>
          <w:rFonts w:ascii="Times New Roman" w:hAnsi="Times New Roman" w:cs="Times New Roman"/>
          <w:b/>
          <w:sz w:val="20"/>
          <w:szCs w:val="20"/>
        </w:rPr>
        <w:t xml:space="preserve">УПРАВЛЕНИЕ </w:t>
      </w:r>
      <w:proofErr w:type="gramStart"/>
      <w:r w:rsidRPr="008259E0">
        <w:rPr>
          <w:rFonts w:ascii="Times New Roman" w:hAnsi="Times New Roman" w:cs="Times New Roman"/>
          <w:b/>
          <w:sz w:val="20"/>
          <w:szCs w:val="20"/>
        </w:rPr>
        <w:t>ФЕДЕРАЛЬНОЙ  СЛУЖБЫ</w:t>
      </w:r>
      <w:proofErr w:type="gramEnd"/>
      <w:r w:rsidRPr="008259E0">
        <w:rPr>
          <w:rFonts w:ascii="Times New Roman" w:hAnsi="Times New Roman" w:cs="Times New Roman"/>
          <w:b/>
          <w:sz w:val="20"/>
          <w:szCs w:val="20"/>
        </w:rPr>
        <w:t xml:space="preserve"> ГОСУДАРСТВЕННОЙ  РЕГИСТРАЦИИ, </w:t>
      </w:r>
    </w:p>
    <w:p w:rsidR="005908BF" w:rsidRPr="008259E0" w:rsidRDefault="005908BF" w:rsidP="005908B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259E0">
        <w:rPr>
          <w:rFonts w:ascii="Times New Roman" w:hAnsi="Times New Roman" w:cs="Times New Roman"/>
          <w:b/>
          <w:sz w:val="20"/>
          <w:szCs w:val="20"/>
          <w:u w:val="single"/>
        </w:rPr>
        <w:t>КАДАСТРА И КАРТОГРАФИИ (</w:t>
      </w:r>
      <w:proofErr w:type="gramStart"/>
      <w:r w:rsidRPr="008259E0">
        <w:rPr>
          <w:rFonts w:ascii="Times New Roman" w:hAnsi="Times New Roman" w:cs="Times New Roman"/>
          <w:b/>
          <w:sz w:val="20"/>
          <w:szCs w:val="20"/>
          <w:u w:val="single"/>
        </w:rPr>
        <w:t>РОСРЕЕСТР)  ПО</w:t>
      </w:r>
      <w:proofErr w:type="gramEnd"/>
      <w:r w:rsidRPr="008259E0">
        <w:rPr>
          <w:rFonts w:ascii="Times New Roman" w:hAnsi="Times New Roman" w:cs="Times New Roman"/>
          <w:b/>
          <w:sz w:val="20"/>
          <w:szCs w:val="20"/>
          <w:u w:val="single"/>
        </w:rPr>
        <w:t xml:space="preserve"> ЧЕЛЯБИНСКОЙ ОБЛАСТИ </w:t>
      </w:r>
    </w:p>
    <w:p w:rsidR="005908BF" w:rsidRPr="008259E0" w:rsidRDefault="005908BF" w:rsidP="005908BF">
      <w:pPr>
        <w:jc w:val="center"/>
        <w:rPr>
          <w:rFonts w:ascii="Times New Roman" w:hAnsi="Times New Roman" w:cs="Times New Roman"/>
          <w:sz w:val="20"/>
          <w:szCs w:val="20"/>
        </w:rPr>
      </w:pPr>
      <w:r w:rsidRPr="008259E0">
        <w:rPr>
          <w:rFonts w:ascii="Times New Roman" w:hAnsi="Times New Roman" w:cs="Times New Roman"/>
          <w:sz w:val="20"/>
          <w:szCs w:val="20"/>
        </w:rPr>
        <w:t>454048</w:t>
      </w:r>
      <w:r w:rsidRPr="008259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259E0">
        <w:rPr>
          <w:rFonts w:ascii="Times New Roman" w:hAnsi="Times New Roman" w:cs="Times New Roman"/>
          <w:sz w:val="20"/>
          <w:szCs w:val="20"/>
        </w:rPr>
        <w:t>г. Челябинск, ул.Елькина, 85</w:t>
      </w:r>
    </w:p>
    <w:p w:rsidR="005908BF" w:rsidRPr="00E86F80" w:rsidRDefault="008259E0" w:rsidP="008259E0">
      <w:pPr>
        <w:rPr>
          <w:i/>
        </w:rPr>
      </w:pPr>
      <w:r w:rsidRPr="0028590F">
        <w:rPr>
          <w:noProof/>
          <w:lang w:eastAsia="ru-RU"/>
        </w:rPr>
        <w:drawing>
          <wp:inline distT="0" distB="0" distL="0" distR="0" wp14:anchorId="39EDBB32" wp14:editId="70333997">
            <wp:extent cx="1861820" cy="7048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6"/>
          <w:szCs w:val="26"/>
        </w:rPr>
        <w:t xml:space="preserve">                                                                                                     0</w:t>
      </w:r>
      <w:r w:rsidR="006A6290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>.12.2021</w:t>
      </w:r>
    </w:p>
    <w:p w:rsidR="005908BF" w:rsidRDefault="005908BF" w:rsidP="00D72B75">
      <w:pPr>
        <w:spacing w:after="0" w:line="240" w:lineRule="auto"/>
        <w:jc w:val="center"/>
        <w:rPr>
          <w:rStyle w:val="a4"/>
          <w:rFonts w:ascii="Georgia" w:hAnsi="Georgia"/>
          <w:color w:val="0070C0"/>
          <w:sz w:val="27"/>
          <w:szCs w:val="27"/>
          <w:bdr w:val="none" w:sz="0" w:space="0" w:color="auto" w:frame="1"/>
        </w:rPr>
      </w:pPr>
      <w:r w:rsidRPr="005908BF">
        <w:rPr>
          <w:rStyle w:val="a4"/>
          <w:rFonts w:ascii="Georgia" w:hAnsi="Georgia"/>
          <w:color w:val="0070C0"/>
          <w:sz w:val="27"/>
          <w:szCs w:val="27"/>
          <w:bdr w:val="none" w:sz="0" w:space="0" w:color="auto" w:frame="1"/>
        </w:rPr>
        <w:t>Государственный надз</w:t>
      </w:r>
      <w:r w:rsidR="00B0599B">
        <w:rPr>
          <w:rStyle w:val="a4"/>
          <w:rFonts w:ascii="Georgia" w:hAnsi="Georgia"/>
          <w:color w:val="0070C0"/>
          <w:sz w:val="27"/>
          <w:szCs w:val="27"/>
          <w:bdr w:val="none" w:sz="0" w:space="0" w:color="auto" w:frame="1"/>
        </w:rPr>
        <w:t>ор за использованием земли</w:t>
      </w:r>
      <w:r w:rsidRPr="005908BF">
        <w:rPr>
          <w:rStyle w:val="a4"/>
          <w:rFonts w:ascii="Georgia" w:hAnsi="Georgia"/>
          <w:color w:val="0070C0"/>
          <w:sz w:val="27"/>
          <w:szCs w:val="27"/>
          <w:bdr w:val="none" w:sz="0" w:space="0" w:color="auto" w:frame="1"/>
        </w:rPr>
        <w:t xml:space="preserve"> осуществля</w:t>
      </w:r>
      <w:r w:rsidR="00B0599B">
        <w:rPr>
          <w:rStyle w:val="a4"/>
          <w:rFonts w:ascii="Georgia" w:hAnsi="Georgia"/>
          <w:color w:val="0070C0"/>
          <w:sz w:val="27"/>
          <w:szCs w:val="27"/>
          <w:bdr w:val="none" w:sz="0" w:space="0" w:color="auto" w:frame="1"/>
        </w:rPr>
        <w:t xml:space="preserve">ется </w:t>
      </w:r>
      <w:r w:rsidRPr="005908BF">
        <w:rPr>
          <w:rStyle w:val="a4"/>
          <w:rFonts w:ascii="Georgia" w:hAnsi="Georgia"/>
          <w:color w:val="0070C0"/>
          <w:sz w:val="27"/>
          <w:szCs w:val="27"/>
          <w:bdr w:val="none" w:sz="0" w:space="0" w:color="auto" w:frame="1"/>
        </w:rPr>
        <w:t>по-новому</w:t>
      </w:r>
    </w:p>
    <w:p w:rsidR="00F26408" w:rsidRPr="005908BF" w:rsidRDefault="00F26408" w:rsidP="00D72B75">
      <w:pPr>
        <w:spacing w:after="0" w:line="240" w:lineRule="auto"/>
        <w:jc w:val="center"/>
        <w:rPr>
          <w:rStyle w:val="a4"/>
          <w:rFonts w:ascii="Georgia" w:hAnsi="Georgia"/>
          <w:color w:val="0070C0"/>
          <w:sz w:val="27"/>
          <w:szCs w:val="27"/>
          <w:bdr w:val="none" w:sz="0" w:space="0" w:color="auto" w:frame="1"/>
        </w:rPr>
      </w:pPr>
    </w:p>
    <w:p w:rsidR="00F26408" w:rsidRDefault="00F26408" w:rsidP="00F26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Управление Росреестра по Челябинской области рассказывает об изменениях законодательства в сфере осуществления государственного земельного надзора. </w:t>
      </w:r>
    </w:p>
    <w:p w:rsidR="00D72B75" w:rsidRPr="00F26408" w:rsidRDefault="00D72B75" w:rsidP="00F264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</w:pPr>
      <w:r w:rsidRPr="00F26408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>В рамках масштабной реформы сферы контрольно-надзорной деятельности был принят Федеральный закон от 31.07.2020 N 248-ФЗ «О государственном контроле (надзоре) и муниципальном контроле в Российской Федерации», устанавливающий новый порядок организации государственного и муниципального контроля. В соответствии с ним осуществление государственных надзорных функций с 1 июля 2021 года стало происходить по-новому.</w:t>
      </w:r>
    </w:p>
    <w:p w:rsidR="00D72B75" w:rsidRPr="00D72B75" w:rsidRDefault="00D72B75" w:rsidP="00F264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</w:pP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>Перестроен формат работы. Приоритетным направлением при осуществлении государственного земельного надзора является проведение профилактических мероприятий, а не самих контрольно-надзорных мероприятий.</w:t>
      </w:r>
    </w:p>
    <w:p w:rsidR="00D72B75" w:rsidRDefault="00D72B75" w:rsidP="00F26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</w:pPr>
    </w:p>
    <w:p w:rsidR="00D72B75" w:rsidRPr="00D72B75" w:rsidRDefault="00D72B75" w:rsidP="00F26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</w:pPr>
      <w:r w:rsidRPr="00D72B75"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Какие же основные изменения в законодательстве о проверках</w:t>
      </w:r>
      <w:r w:rsidRPr="00D72B75">
        <w:rPr>
          <w:rStyle w:val="a4"/>
          <w:rFonts w:ascii="Segoe UI Symbol" w:hAnsi="Segoe UI Symbol" w:cs="Segoe UI Symbol"/>
          <w:color w:val="000000"/>
          <w:sz w:val="27"/>
          <w:szCs w:val="27"/>
          <w:bdr w:val="none" w:sz="0" w:space="0" w:color="auto" w:frame="1"/>
        </w:rPr>
        <w:t>❓</w:t>
      </w:r>
    </w:p>
    <w:p w:rsidR="00D72B75" w:rsidRPr="00D72B75" w:rsidRDefault="00D72B75" w:rsidP="00F26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</w:pPr>
      <w:r w:rsidRPr="00D72B75">
        <w:rPr>
          <w:rStyle w:val="a4"/>
          <w:rFonts w:ascii="Segoe UI Symbol" w:hAnsi="Segoe UI Symbol" w:cs="Segoe UI Symbol"/>
          <w:b w:val="0"/>
          <w:color w:val="000000"/>
          <w:sz w:val="27"/>
          <w:szCs w:val="27"/>
          <w:bdr w:val="none" w:sz="0" w:space="0" w:color="auto" w:frame="1"/>
        </w:rPr>
        <w:t>🔹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Во-первых, сокращен срок проведения проверок, он не </w:t>
      </w:r>
      <w:r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>может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превышать 10 рабочих дней;</w:t>
      </w:r>
    </w:p>
    <w:p w:rsidR="00D72B75" w:rsidRPr="00D72B75" w:rsidRDefault="00D72B75" w:rsidP="00F26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</w:pPr>
      <w:r w:rsidRPr="00D72B75">
        <w:rPr>
          <w:rStyle w:val="a4"/>
          <w:rFonts w:ascii="Segoe UI Symbol" w:hAnsi="Segoe UI Symbol" w:cs="Segoe UI Symbol"/>
          <w:b w:val="0"/>
          <w:color w:val="000000"/>
          <w:sz w:val="27"/>
          <w:szCs w:val="27"/>
          <w:bdr w:val="none" w:sz="0" w:space="0" w:color="auto" w:frame="1"/>
        </w:rPr>
        <w:t>🔹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Во-вторых, проверки зафиксируют онлайн. Правительством РФ установлена возможность использования при проведении проверок средств дистанционного взаимодействия, включая аудио- и видеосвязь;</w:t>
      </w:r>
    </w:p>
    <w:p w:rsidR="00D72B75" w:rsidRPr="00D72B75" w:rsidRDefault="00D72B75" w:rsidP="00F26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</w:pPr>
      <w:r w:rsidRPr="00D72B75">
        <w:rPr>
          <w:rStyle w:val="a4"/>
          <w:rFonts w:ascii="Segoe UI Symbol" w:hAnsi="Segoe UI Symbol" w:cs="Segoe UI Symbol"/>
          <w:b w:val="0"/>
          <w:color w:val="000000"/>
          <w:sz w:val="27"/>
          <w:szCs w:val="27"/>
          <w:bdr w:val="none" w:sz="0" w:space="0" w:color="auto" w:frame="1"/>
        </w:rPr>
        <w:t>🔹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В-третьих, наложен запрет на проведение проверок в отношении субъектов малого </w:t>
      </w:r>
      <w:r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и среднего 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>бизнеса в 2022 году.</w:t>
      </w:r>
    </w:p>
    <w:p w:rsidR="00D72B75" w:rsidRDefault="00D72B75" w:rsidP="00F264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</w:pPr>
    </w:p>
    <w:p w:rsidR="00D72B75" w:rsidRPr="00D72B75" w:rsidRDefault="00D72B75" w:rsidP="00F264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</w:pP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>Напомним, что Росреестр теперь уполномочен на проведение профилак</w:t>
      </w:r>
      <w:bookmarkStart w:id="0" w:name="_GoBack"/>
      <w:bookmarkEnd w:id="0"/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>тических мероприятий в области соблюдения требований земельного законодательства посредством информирования, обобщения правоприменительной практики, объявления предостережений, консультирования, профилактического визита.</w:t>
      </w:r>
    </w:p>
    <w:p w:rsidR="00D72B75" w:rsidRPr="00D72B75" w:rsidRDefault="00D72B75" w:rsidP="00D72B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</w:pP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Ранее в процессе надзорных мероприятий отсутствовали такие полномочия, как объявление предостережений и профилактический визит. Профилактические мероприятия направлены на стимулирование добросовестного соблюдения обязательных требований всеми землепользователями, </w:t>
      </w:r>
      <w:r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а также 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>устранение условий, причин и факторов, сп</w:t>
      </w:r>
      <w:r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>особствующих нарушениям закона.</w:t>
      </w:r>
    </w:p>
    <w:p w:rsidR="00B0599B" w:rsidRDefault="00D72B75" w:rsidP="00D72B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</w:pP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Кроме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того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,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новым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в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действующем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с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начала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июля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текущего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года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законодательстве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является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и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досудебный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порядок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рассмотрения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жалоб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на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решения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 xml:space="preserve">, </w:t>
      </w:r>
      <w:r w:rsidRPr="00D72B75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дейст</w:t>
      </w:r>
      <w:r w:rsidRPr="00D72B75"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  <w:t>вия (бездействия) должностных лиц при осуществлении федерального государственного земельного надзора. Данную процедуру проходят юридические лица и предприниматели, а на граждан, не осуществляющих предпринимательскую деятельность, она не распространяется.</w:t>
      </w:r>
    </w:p>
    <w:p w:rsidR="006A6290" w:rsidRDefault="006A6290" w:rsidP="00D72B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inherit" w:hAnsi="inherit"/>
          <w:b w:val="0"/>
          <w:color w:val="000000"/>
          <w:sz w:val="27"/>
          <w:szCs w:val="27"/>
          <w:bdr w:val="none" w:sz="0" w:space="0" w:color="auto" w:frame="1"/>
        </w:rPr>
      </w:pPr>
    </w:p>
    <w:p w:rsidR="006A6290" w:rsidRPr="00CB07AF" w:rsidRDefault="006A6290" w:rsidP="006A6290">
      <w:pPr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07AF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6A6290" w:rsidRPr="00CB07AF" w:rsidRDefault="006A6290" w:rsidP="006A6290">
      <w:pPr>
        <w:ind w:left="3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07A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CB07A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CB07AF">
        <w:rPr>
          <w:rFonts w:ascii="Times New Roman" w:hAnsi="Times New Roman" w:cs="Times New Roman"/>
          <w:i/>
          <w:sz w:val="28"/>
          <w:szCs w:val="28"/>
        </w:rPr>
        <w:t xml:space="preserve"> Челябинской области</w:t>
      </w:r>
    </w:p>
    <w:sectPr w:rsidR="006A6290" w:rsidRPr="00CB07AF" w:rsidSect="008259E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4EA5"/>
    <w:multiLevelType w:val="hybridMultilevel"/>
    <w:tmpl w:val="CF70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13605"/>
    <w:multiLevelType w:val="hybridMultilevel"/>
    <w:tmpl w:val="1DE0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8D"/>
    <w:rsid w:val="00115900"/>
    <w:rsid w:val="0053552A"/>
    <w:rsid w:val="005908BF"/>
    <w:rsid w:val="006A6290"/>
    <w:rsid w:val="008259E0"/>
    <w:rsid w:val="00904672"/>
    <w:rsid w:val="00974B41"/>
    <w:rsid w:val="009E4B12"/>
    <w:rsid w:val="00B0599B"/>
    <w:rsid w:val="00B4158D"/>
    <w:rsid w:val="00BC4FD0"/>
    <w:rsid w:val="00BF6CFF"/>
    <w:rsid w:val="00D10356"/>
    <w:rsid w:val="00D72B75"/>
    <w:rsid w:val="00F2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54826-2BB2-41DB-A4BC-32D6D784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8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0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E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2021-12-02T09:51:00Z</cp:lastPrinted>
  <dcterms:created xsi:type="dcterms:W3CDTF">2021-12-02T09:39:00Z</dcterms:created>
  <dcterms:modified xsi:type="dcterms:W3CDTF">2021-12-08T05:51:00Z</dcterms:modified>
</cp:coreProperties>
</file>